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0992E" w14:textId="07291F90" w:rsidR="009C4B63" w:rsidRDefault="009C4B63" w:rsidP="00B2550E">
      <w:pPr>
        <w:spacing w:after="0" w:line="240" w:lineRule="auto"/>
        <w:rPr>
          <w:rFonts w:ascii="Arial Black" w:eastAsia="Times New Roman" w:hAnsi="Arial Black" w:cs="Times New Roman"/>
          <w:b/>
          <w:bCs/>
          <w:sz w:val="36"/>
          <w:szCs w:val="36"/>
        </w:rPr>
      </w:pPr>
      <w:bookmarkStart w:id="0" w:name="_GoBack"/>
      <w:bookmarkEnd w:id="0"/>
    </w:p>
    <w:p w14:paraId="013C9B73" w14:textId="26D0BD97" w:rsidR="009C4B63" w:rsidRDefault="009C4B63" w:rsidP="00B2550E">
      <w:pPr>
        <w:spacing w:after="0" w:line="240" w:lineRule="auto"/>
        <w:rPr>
          <w:rFonts w:ascii="Arial Black" w:eastAsia="Times New Roman" w:hAnsi="Arial Black" w:cs="Times New Roman"/>
          <w:b/>
          <w:bCs/>
          <w:sz w:val="36"/>
          <w:szCs w:val="36"/>
        </w:rPr>
      </w:pPr>
    </w:p>
    <w:p w14:paraId="440D42EC" w14:textId="797DC05D" w:rsidR="009C4B63" w:rsidRDefault="009C4B63" w:rsidP="00B2550E">
      <w:pPr>
        <w:spacing w:after="0" w:line="240" w:lineRule="auto"/>
        <w:rPr>
          <w:rFonts w:ascii="Arial Black" w:eastAsia="Times New Roman" w:hAnsi="Arial Black" w:cs="Times New Roman"/>
          <w:b/>
          <w:bCs/>
          <w:sz w:val="36"/>
          <w:szCs w:val="36"/>
        </w:rPr>
      </w:pPr>
    </w:p>
    <w:p w14:paraId="01E049F4" w14:textId="38907A89" w:rsidR="00B2550E" w:rsidRPr="009C4B63" w:rsidRDefault="009C4B63" w:rsidP="00B2550E">
      <w:pPr>
        <w:spacing w:after="0" w:line="240" w:lineRule="auto"/>
        <w:rPr>
          <w:rFonts w:ascii="Arial Black" w:eastAsia="Times New Roman" w:hAnsi="Arial Black" w:cs="Times New Roman"/>
          <w:b/>
          <w:bCs/>
          <w:sz w:val="36"/>
          <w:szCs w:val="36"/>
        </w:rPr>
      </w:pPr>
      <w:r>
        <w:rPr>
          <w:rFonts w:ascii="Arial Black" w:eastAsia="Times New Roman" w:hAnsi="Arial Black" w:cs="Times New Roman"/>
          <w:b/>
          <w:bCs/>
          <w:sz w:val="36"/>
          <w:szCs w:val="36"/>
        </w:rPr>
        <w:t xml:space="preserve">Introducing the </w:t>
      </w:r>
      <w:r w:rsidR="00B2550E" w:rsidRPr="009C4B63">
        <w:rPr>
          <w:rFonts w:ascii="Arial Black" w:eastAsia="Times New Roman" w:hAnsi="Arial Black" w:cs="Times New Roman"/>
          <w:b/>
          <w:bCs/>
          <w:sz w:val="36"/>
          <w:szCs w:val="36"/>
        </w:rPr>
        <w:t xml:space="preserve">Nonqualified Plan Exit Strategy to Mitigate </w:t>
      </w:r>
      <w:r>
        <w:rPr>
          <w:rFonts w:ascii="Arial Black" w:eastAsia="Times New Roman" w:hAnsi="Arial Black" w:cs="Times New Roman"/>
          <w:b/>
          <w:bCs/>
          <w:sz w:val="36"/>
          <w:szCs w:val="36"/>
        </w:rPr>
        <w:t>FIVE</w:t>
      </w:r>
      <w:r w:rsidR="00B2550E" w:rsidRPr="009C4B63">
        <w:rPr>
          <w:rFonts w:ascii="Arial Black" w:eastAsia="Times New Roman" w:hAnsi="Arial Black" w:cs="Times New Roman"/>
          <w:b/>
          <w:bCs/>
          <w:sz w:val="36"/>
          <w:szCs w:val="36"/>
        </w:rPr>
        <w:t xml:space="preserve"> </w:t>
      </w:r>
      <w:r>
        <w:rPr>
          <w:rFonts w:ascii="Arial Black" w:eastAsia="Times New Roman" w:hAnsi="Arial Black" w:cs="Times New Roman"/>
          <w:b/>
          <w:bCs/>
          <w:sz w:val="36"/>
          <w:szCs w:val="36"/>
        </w:rPr>
        <w:t>Perpetual Risks</w:t>
      </w:r>
    </w:p>
    <w:p w14:paraId="496E30C0" w14:textId="4EA6DCBF" w:rsidR="00B2550E" w:rsidRDefault="009C4B63">
      <w:r>
        <w:rPr>
          <w:noProof/>
        </w:rPr>
        <w:drawing>
          <wp:anchor distT="0" distB="0" distL="114300" distR="114300" simplePos="0" relativeHeight="251675648" behindDoc="0" locked="0" layoutInCell="1" allowOverlap="1" wp14:anchorId="18B22EF1" wp14:editId="5E01151C">
            <wp:simplePos x="0" y="0"/>
            <wp:positionH relativeFrom="margin">
              <wp:posOffset>-116205</wp:posOffset>
            </wp:positionH>
            <wp:positionV relativeFrom="margin">
              <wp:posOffset>1981200</wp:posOffset>
            </wp:positionV>
            <wp:extent cx="6338570" cy="37623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38570" cy="3762375"/>
                    </a:xfrm>
                    <a:prstGeom prst="rect">
                      <a:avLst/>
                    </a:prstGeom>
                  </pic:spPr>
                </pic:pic>
              </a:graphicData>
            </a:graphic>
            <wp14:sizeRelH relativeFrom="margin">
              <wp14:pctWidth>0</wp14:pctWidth>
            </wp14:sizeRelH>
            <wp14:sizeRelV relativeFrom="margin">
              <wp14:pctHeight>0</wp14:pctHeight>
            </wp14:sizeRelV>
          </wp:anchor>
        </w:drawing>
      </w:r>
    </w:p>
    <w:p w14:paraId="176185EE" w14:textId="77777777" w:rsidR="009C4B63" w:rsidRDefault="009C4B63"/>
    <w:p w14:paraId="260AE91A" w14:textId="0B8CEDEE" w:rsidR="009C4B63" w:rsidRPr="00B2550E" w:rsidRDefault="009C4B63" w:rsidP="009C4B63">
      <w:pPr>
        <w:pStyle w:val="NormalWeb"/>
        <w:shd w:val="clear" w:color="auto" w:fill="FFFFFF"/>
        <w:spacing w:before="0" w:beforeAutospacing="0" w:after="0" w:afterAutospacing="0"/>
        <w:rPr>
          <w:rFonts w:asciiTheme="minorHAnsi" w:hAnsiTheme="minorHAnsi" w:cstheme="minorHAnsi"/>
          <w:b/>
          <w:bCs/>
          <w:sz w:val="28"/>
          <w:szCs w:val="28"/>
          <w:shd w:val="clear" w:color="auto" w:fill="FFFFFF"/>
        </w:rPr>
      </w:pPr>
      <w:r w:rsidRPr="00C15514">
        <w:rPr>
          <w:rFonts w:asciiTheme="minorHAnsi" w:hAnsiTheme="minorHAnsi" w:cstheme="minorHAnsi"/>
          <w:b/>
          <w:bCs/>
          <w:sz w:val="28"/>
          <w:szCs w:val="28"/>
          <w:shd w:val="clear" w:color="auto" w:fill="FFFFFF"/>
        </w:rPr>
        <w:t xml:space="preserve">A Brief, Informative White Paper for </w:t>
      </w:r>
      <w:r>
        <w:rPr>
          <w:rFonts w:asciiTheme="minorHAnsi" w:hAnsiTheme="minorHAnsi" w:cstheme="minorHAnsi"/>
          <w:b/>
          <w:bCs/>
          <w:sz w:val="28"/>
          <w:szCs w:val="28"/>
          <w:shd w:val="clear" w:color="auto" w:fill="FFFFFF"/>
        </w:rPr>
        <w:t xml:space="preserve">Employers and their </w:t>
      </w:r>
      <w:r w:rsidRPr="00C15514">
        <w:rPr>
          <w:rFonts w:asciiTheme="minorHAnsi" w:hAnsiTheme="minorHAnsi" w:cstheme="minorHAnsi"/>
          <w:b/>
          <w:bCs/>
          <w:sz w:val="28"/>
          <w:szCs w:val="28"/>
          <w:shd w:val="clear" w:color="auto" w:fill="FFFFFF"/>
        </w:rPr>
        <w:t xml:space="preserve">Executives </w:t>
      </w:r>
    </w:p>
    <w:p w14:paraId="0B9D60D7" w14:textId="064A0D01" w:rsidR="009C4B63" w:rsidRPr="00B2550E" w:rsidRDefault="009C4B63" w:rsidP="009C4B63">
      <w:pPr>
        <w:spacing w:line="360" w:lineRule="auto"/>
        <w:ind w:right="-1980"/>
        <w:rPr>
          <w:rFonts w:cs="Arial"/>
          <w:b/>
          <w:iCs/>
          <w:sz w:val="28"/>
          <w:szCs w:val="28"/>
          <w:vertAlign w:val="superscript"/>
        </w:rPr>
      </w:pPr>
      <w:r w:rsidRPr="00C15514">
        <w:rPr>
          <w:rFonts w:cs="Arial"/>
          <w:b/>
          <w:iCs/>
          <w:sz w:val="28"/>
          <w:szCs w:val="28"/>
        </w:rPr>
        <w:t>Ju</w:t>
      </w:r>
      <w:r w:rsidR="004E75B8">
        <w:rPr>
          <w:rFonts w:cs="Arial"/>
          <w:b/>
          <w:iCs/>
          <w:sz w:val="28"/>
          <w:szCs w:val="28"/>
        </w:rPr>
        <w:t>ly</w:t>
      </w:r>
      <w:r w:rsidRPr="00C15514">
        <w:rPr>
          <w:rFonts w:cs="Arial"/>
          <w:b/>
          <w:iCs/>
          <w:sz w:val="28"/>
          <w:szCs w:val="28"/>
        </w:rPr>
        <w:t xml:space="preserve"> 2020</w:t>
      </w:r>
    </w:p>
    <w:p w14:paraId="7AE50D4E" w14:textId="403C73A7" w:rsidR="00B2550E" w:rsidRDefault="00B2550E"/>
    <w:p w14:paraId="75240214" w14:textId="77777777" w:rsidR="009C4B63" w:rsidRPr="00C15514" w:rsidRDefault="009C4B63" w:rsidP="009C4B63">
      <w:pPr>
        <w:spacing w:after="0" w:line="240" w:lineRule="auto"/>
        <w:ind w:right="-1987"/>
        <w:rPr>
          <w:rFonts w:cs="Arial"/>
          <w:b/>
          <w:bCs/>
          <w:sz w:val="28"/>
          <w:szCs w:val="28"/>
        </w:rPr>
      </w:pPr>
      <w:r w:rsidRPr="00C15514">
        <w:rPr>
          <w:rFonts w:cs="Arial"/>
          <w:b/>
          <w:bCs/>
          <w:sz w:val="28"/>
          <w:szCs w:val="28"/>
        </w:rPr>
        <w:t>By William L. MacDonald</w:t>
      </w:r>
    </w:p>
    <w:p w14:paraId="0170A16C" w14:textId="77777777" w:rsidR="009C4B63" w:rsidRPr="00C15514" w:rsidRDefault="009C4B63" w:rsidP="009C4B63">
      <w:pPr>
        <w:spacing w:after="0" w:line="240" w:lineRule="auto"/>
        <w:ind w:right="-1987"/>
        <w:rPr>
          <w:rFonts w:cs="Arial"/>
          <w:b/>
          <w:bCs/>
          <w:sz w:val="28"/>
          <w:szCs w:val="28"/>
        </w:rPr>
      </w:pPr>
      <w:r w:rsidRPr="00C15514">
        <w:rPr>
          <w:rFonts w:cs="Arial"/>
          <w:b/>
          <w:bCs/>
          <w:sz w:val="28"/>
          <w:szCs w:val="28"/>
        </w:rPr>
        <w:t>Managing Director, EBS</w:t>
      </w:r>
    </w:p>
    <w:p w14:paraId="3E975394" w14:textId="3CF2C92E" w:rsidR="00B2550E" w:rsidRDefault="008C370B">
      <w:r w:rsidRPr="00C15514">
        <w:rPr>
          <w:noProof/>
          <w:sz w:val="28"/>
          <w:szCs w:val="28"/>
        </w:rPr>
        <w:drawing>
          <wp:anchor distT="0" distB="0" distL="114300" distR="114300" simplePos="0" relativeHeight="251658240" behindDoc="0" locked="0" layoutInCell="1" allowOverlap="1" wp14:anchorId="4C14CF65" wp14:editId="6A93C523">
            <wp:simplePos x="0" y="0"/>
            <wp:positionH relativeFrom="margin">
              <wp:posOffset>3743325</wp:posOffset>
            </wp:positionH>
            <wp:positionV relativeFrom="margin">
              <wp:posOffset>7886700</wp:posOffset>
            </wp:positionV>
            <wp:extent cx="2762250" cy="738505"/>
            <wp:effectExtent l="0" t="0" r="0" b="444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73850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81BC6" w:rsidRPr="00E81BC6" w14:paraId="0E467A0C" w14:textId="77777777" w:rsidTr="00E81BC6">
        <w:tc>
          <w:tcPr>
            <w:tcW w:w="0" w:type="auto"/>
            <w:shd w:val="clear" w:color="auto" w:fill="auto"/>
            <w:tcMar>
              <w:top w:w="0" w:type="dxa"/>
              <w:left w:w="0" w:type="dxa"/>
              <w:bottom w:w="0" w:type="dxa"/>
              <w:right w:w="0" w:type="dxa"/>
            </w:tcMar>
            <w:vAlign w:val="center"/>
            <w:hideMark/>
          </w:tcPr>
          <w:p w14:paraId="385101D6" w14:textId="0677CCA7" w:rsidR="00C12169" w:rsidRDefault="00C12169" w:rsidP="00E81BC6">
            <w:pPr>
              <w:spacing w:after="0" w:line="240" w:lineRule="auto"/>
              <w:rPr>
                <w:rFonts w:ascii="Times New Roman" w:eastAsia="Times New Roman" w:hAnsi="Times New Roman" w:cs="Times New Roman"/>
                <w:b/>
                <w:bCs/>
                <w:sz w:val="24"/>
                <w:szCs w:val="24"/>
              </w:rPr>
            </w:pPr>
          </w:p>
          <w:p w14:paraId="67D0FD1F" w14:textId="6B58743C" w:rsidR="00B2550E" w:rsidRDefault="00B2550E" w:rsidP="00E81BC6">
            <w:pPr>
              <w:spacing w:after="0" w:line="240" w:lineRule="auto"/>
              <w:rPr>
                <w:rFonts w:ascii="Times New Roman" w:eastAsia="Times New Roman" w:hAnsi="Times New Roman" w:cs="Times New Roman"/>
                <w:b/>
                <w:bCs/>
                <w:sz w:val="48"/>
                <w:szCs w:val="48"/>
              </w:rPr>
            </w:pPr>
          </w:p>
          <w:p w14:paraId="36C889A4" w14:textId="77777777" w:rsidR="00773850" w:rsidRPr="00B2550E" w:rsidRDefault="00773850" w:rsidP="00E81BC6">
            <w:pPr>
              <w:spacing w:after="0" w:line="240" w:lineRule="auto"/>
              <w:rPr>
                <w:rFonts w:eastAsia="Times New Roman" w:cstheme="minorHAnsi"/>
              </w:rPr>
            </w:pPr>
          </w:p>
          <w:p w14:paraId="550725EB" w14:textId="4940B130" w:rsidR="00B2550E" w:rsidRPr="00C12169" w:rsidRDefault="00B2550E" w:rsidP="00B2550E">
            <w:pPr>
              <w:spacing w:after="0" w:line="240" w:lineRule="auto"/>
              <w:rPr>
                <w:rFonts w:ascii="Times New Roman" w:eastAsia="Times New Roman" w:hAnsi="Times New Roman" w:cs="Times New Roman"/>
                <w:sz w:val="48"/>
                <w:szCs w:val="48"/>
              </w:rPr>
            </w:pPr>
          </w:p>
        </w:tc>
      </w:tr>
      <w:tr w:rsidR="00C12169" w:rsidRPr="00E81BC6" w14:paraId="7F6CAC3B" w14:textId="77777777" w:rsidTr="00E81BC6">
        <w:tc>
          <w:tcPr>
            <w:tcW w:w="0" w:type="auto"/>
            <w:shd w:val="clear" w:color="auto" w:fill="auto"/>
            <w:tcMar>
              <w:top w:w="0" w:type="dxa"/>
              <w:left w:w="0" w:type="dxa"/>
              <w:bottom w:w="0" w:type="dxa"/>
              <w:right w:w="0" w:type="dxa"/>
            </w:tcMar>
            <w:vAlign w:val="center"/>
          </w:tcPr>
          <w:p w14:paraId="2D21A967" w14:textId="77777777" w:rsidR="00C12169" w:rsidRPr="00E81BC6" w:rsidRDefault="00C12169" w:rsidP="00E81BC6">
            <w:pPr>
              <w:spacing w:after="0" w:line="240" w:lineRule="auto"/>
              <w:rPr>
                <w:rFonts w:ascii="Times New Roman" w:eastAsia="Times New Roman" w:hAnsi="Times New Roman" w:cs="Times New Roman"/>
                <w:b/>
                <w:bCs/>
                <w:sz w:val="24"/>
                <w:szCs w:val="24"/>
              </w:rPr>
            </w:pPr>
          </w:p>
        </w:tc>
      </w:tr>
      <w:tr w:rsidR="00E81BC6" w:rsidRPr="00360945" w14:paraId="20B9CEAF" w14:textId="77777777" w:rsidTr="00E81BC6">
        <w:tc>
          <w:tcPr>
            <w:tcW w:w="0" w:type="auto"/>
            <w:shd w:val="clear" w:color="auto" w:fill="auto"/>
            <w:tcMar>
              <w:top w:w="0" w:type="dxa"/>
              <w:left w:w="0" w:type="dxa"/>
              <w:bottom w:w="0" w:type="dxa"/>
              <w:right w:w="0" w:type="dxa"/>
            </w:tcMar>
            <w:vAlign w:val="center"/>
            <w:hideMark/>
          </w:tcPr>
          <w:p w14:paraId="32DEE940" w14:textId="77777777" w:rsidR="009C4B63" w:rsidRDefault="009C4B63" w:rsidP="00773850">
            <w:pPr>
              <w:spacing w:line="276" w:lineRule="auto"/>
            </w:pPr>
          </w:p>
          <w:p w14:paraId="366A639D" w14:textId="2CBEE834" w:rsidR="00773850" w:rsidRPr="00773850" w:rsidRDefault="00E81BC6" w:rsidP="00773850">
            <w:pPr>
              <w:spacing w:line="276" w:lineRule="auto"/>
            </w:pPr>
            <w:r w:rsidRPr="00773850">
              <w:t>W</w:t>
            </w:r>
            <w:r w:rsidR="00773850" w:rsidRPr="00773850">
              <w:t>hile</w:t>
            </w:r>
            <w:r w:rsidRPr="00773850">
              <w:t xml:space="preserve"> </w:t>
            </w:r>
            <w:r w:rsidR="00773850" w:rsidRPr="00773850">
              <w:t>nonqualified deferred compensation</w:t>
            </w:r>
            <w:r w:rsidR="00C12169" w:rsidRPr="00773850">
              <w:t xml:space="preserve"> (NQDC) </w:t>
            </w:r>
            <w:r w:rsidR="00773850" w:rsidRPr="00773850">
              <w:t>plans</w:t>
            </w:r>
            <w:r w:rsidR="00C12169" w:rsidRPr="00773850">
              <w:t xml:space="preserve"> and</w:t>
            </w:r>
            <w:r w:rsidRPr="00773850">
              <w:t xml:space="preserve"> </w:t>
            </w:r>
            <w:r w:rsidR="00773850" w:rsidRPr="00773850">
              <w:t xml:space="preserve">supplemental executive retirement plans </w:t>
            </w:r>
            <w:r w:rsidRPr="00773850">
              <w:t xml:space="preserve">(SERPs) are a tax-efficient way to restore benefits lost to the limits in IRC sections 415 and 401(a)(17), </w:t>
            </w:r>
            <w:r w:rsidR="00094844">
              <w:t>NQDCs and SERPs</w:t>
            </w:r>
            <w:r w:rsidRPr="00773850">
              <w:t xml:space="preserve"> are not the best way to</w:t>
            </w:r>
            <w:r w:rsidR="00C12169" w:rsidRPr="00773850">
              <w:t xml:space="preserve"> take retirement income or </w:t>
            </w:r>
            <w:r w:rsidRPr="00773850">
              <w:t xml:space="preserve">transfer wealth to the next generation. </w:t>
            </w:r>
            <w:r w:rsidR="00773850" w:rsidRPr="00773850">
              <w:t>F</w:t>
            </w:r>
            <w:r w:rsidR="00C12169" w:rsidRPr="00773850">
              <w:t xml:space="preserve">ive risk factors </w:t>
            </w:r>
            <w:r w:rsidR="00773850" w:rsidRPr="00773850">
              <w:t>surround</w:t>
            </w:r>
            <w:r w:rsidR="00C12169" w:rsidRPr="00773850">
              <w:t xml:space="preserve"> these arrangements</w:t>
            </w:r>
            <w:r w:rsidR="00094844">
              <w:t>, which you can</w:t>
            </w:r>
            <w:r w:rsidR="00C12169" w:rsidRPr="00773850">
              <w:t xml:space="preserve"> avoid at retirement.</w:t>
            </w:r>
          </w:p>
          <w:p w14:paraId="48288ACE" w14:textId="2424DF45" w:rsidR="00773850" w:rsidRDefault="00773850" w:rsidP="00773850"/>
          <w:p w14:paraId="5B893D06" w14:textId="4B26971F" w:rsidR="00102FCC" w:rsidRDefault="00102FCC" w:rsidP="00102FCC">
            <w:pPr>
              <w:spacing w:after="0" w:line="240" w:lineRule="auto"/>
              <w:rPr>
                <w:rFonts w:eastAsia="Times New Roman" w:cstheme="minorHAnsi"/>
              </w:rPr>
            </w:pPr>
            <w:r>
              <w:rPr>
                <w:rFonts w:eastAsia="Times New Roman" w:cstheme="minorHAnsi"/>
              </w:rPr>
              <w:t>Allow me to save you time and parse out the core message of this paper in the bullet points below:</w:t>
            </w:r>
          </w:p>
          <w:p w14:paraId="35962153" w14:textId="77777777" w:rsidR="00102FCC" w:rsidRDefault="00102FCC" w:rsidP="00773850"/>
          <w:p w14:paraId="3B6C67F9" w14:textId="77777777" w:rsidR="00102FCC" w:rsidRDefault="00773850" w:rsidP="00102FCC">
            <w:pPr>
              <w:pStyle w:val="ListParagraph"/>
              <w:numPr>
                <w:ilvl w:val="0"/>
                <w:numId w:val="10"/>
              </w:numPr>
            </w:pPr>
            <w:r w:rsidRPr="00102FCC">
              <w:rPr>
                <w:b/>
                <w:bCs/>
              </w:rPr>
              <w:t xml:space="preserve">To help executives maximize income at retirement and build wealth for future </w:t>
            </w:r>
            <w:r w:rsidR="00E81BC6" w:rsidRPr="00102FCC">
              <w:rPr>
                <w:b/>
                <w:bCs/>
              </w:rPr>
              <w:t>generations,</w:t>
            </w:r>
            <w:r w:rsidR="00E81BC6" w:rsidRPr="00773850">
              <w:t xml:space="preserve"> some </w:t>
            </w:r>
            <w:r w:rsidR="00C12169" w:rsidRPr="00773850">
              <w:t xml:space="preserve">executives are </w:t>
            </w:r>
            <w:r w:rsidR="00C12169" w:rsidRPr="00094844">
              <w:rPr>
                <w:u w:val="single"/>
              </w:rPr>
              <w:t>taking advantage of a new strategy, the NQDC Exit Strategy.</w:t>
            </w:r>
            <w:r w:rsidR="00C12169" w:rsidRPr="00067CC6">
              <w:t xml:space="preserve"> </w:t>
            </w:r>
            <w:r w:rsidR="00E81BC6" w:rsidRPr="00067CC6">
              <w:t xml:space="preserve"> </w:t>
            </w:r>
            <w:r w:rsidR="00E81BC6" w:rsidRPr="00773850">
              <w:t xml:space="preserve">Executives can </w:t>
            </w:r>
            <w:r w:rsidR="00C12169" w:rsidRPr="00773850">
              <w:t>exit</w:t>
            </w:r>
            <w:r w:rsidR="00E81BC6" w:rsidRPr="00773850">
              <w:t xml:space="preserve"> heavily taxed retirement benefits for </w:t>
            </w:r>
            <w:r w:rsidR="002938FE" w:rsidRPr="00773850">
              <w:t xml:space="preserve">uniquely designed </w:t>
            </w:r>
            <w:r w:rsidR="00E81BC6" w:rsidRPr="00773850">
              <w:t xml:space="preserve">tax-favored life insurance </w:t>
            </w:r>
            <w:r w:rsidR="00C12169" w:rsidRPr="00773850">
              <w:t xml:space="preserve">funded </w:t>
            </w:r>
            <w:r w:rsidR="00E81BC6" w:rsidRPr="00773850">
              <w:t>contracts on the life of the executive or the executive and his or her spouse.</w:t>
            </w:r>
          </w:p>
          <w:p w14:paraId="07E82137" w14:textId="0F8D5116" w:rsidR="00B2550E" w:rsidRPr="00773850" w:rsidRDefault="00E81BC6" w:rsidP="00102FCC">
            <w:pPr>
              <w:pStyle w:val="ListParagraph"/>
            </w:pPr>
            <w:r w:rsidRPr="00773850">
              <w:t xml:space="preserve"> </w:t>
            </w:r>
          </w:p>
          <w:p w14:paraId="45326CBE" w14:textId="07261EF0" w:rsidR="00B2550E" w:rsidRDefault="00773850" w:rsidP="00102FCC">
            <w:pPr>
              <w:pStyle w:val="ListParagraph"/>
              <w:numPr>
                <w:ilvl w:val="0"/>
                <w:numId w:val="10"/>
              </w:numPr>
            </w:pPr>
            <w:r w:rsidRPr="00102FCC">
              <w:rPr>
                <w:b/>
                <w:bCs/>
              </w:rPr>
              <w:t xml:space="preserve">If an executive decides to use the NQDC </w:t>
            </w:r>
            <w:r w:rsidR="002D0363">
              <w:rPr>
                <w:b/>
                <w:bCs/>
              </w:rPr>
              <w:t>Exit Strategy</w:t>
            </w:r>
            <w:r w:rsidR="00094844">
              <w:rPr>
                <w:b/>
                <w:bCs/>
              </w:rPr>
              <w:t>,</w:t>
            </w:r>
            <w:r w:rsidRPr="00067CC6">
              <w:t xml:space="preserve"> it</w:t>
            </w:r>
            <w:r w:rsidRPr="00773850">
              <w:t xml:space="preserve"> </w:t>
            </w:r>
            <w:r w:rsidR="00810272" w:rsidRPr="00773850">
              <w:t>does not</w:t>
            </w:r>
            <w:r w:rsidR="00C12169" w:rsidRPr="00773850">
              <w:t xml:space="preserve"> require any company approval, as this is an individual decision and has no impact on the employer’s plan.</w:t>
            </w:r>
          </w:p>
          <w:p w14:paraId="77117DA6" w14:textId="77777777" w:rsidR="00102FCC" w:rsidRPr="00102FCC" w:rsidRDefault="00102FCC" w:rsidP="00102FCC">
            <w:pPr>
              <w:pStyle w:val="ListParagraph"/>
            </w:pPr>
          </w:p>
          <w:p w14:paraId="3B202372" w14:textId="5A2BE405" w:rsidR="00B2550E" w:rsidRDefault="00A22954" w:rsidP="00102FCC">
            <w:pPr>
              <w:pStyle w:val="ListParagraph"/>
              <w:numPr>
                <w:ilvl w:val="0"/>
                <w:numId w:val="10"/>
              </w:numPr>
            </w:pPr>
            <w:r w:rsidRPr="00810272">
              <w:rPr>
                <w:b/>
                <w:bCs/>
              </w:rPr>
              <w:t>The</w:t>
            </w:r>
            <w:r>
              <w:rPr>
                <w:b/>
                <w:bCs/>
              </w:rPr>
              <w:t xml:space="preserve"> </w:t>
            </w:r>
            <w:r w:rsidR="00773850" w:rsidRPr="00102FCC">
              <w:rPr>
                <w:b/>
                <w:bCs/>
              </w:rPr>
              <w:t xml:space="preserve">NQDC </w:t>
            </w:r>
            <w:r w:rsidR="002D0363">
              <w:rPr>
                <w:b/>
                <w:bCs/>
              </w:rPr>
              <w:t>Exit Strategy</w:t>
            </w:r>
            <w:r w:rsidR="00773850" w:rsidRPr="00102FCC">
              <w:rPr>
                <w:b/>
                <w:bCs/>
              </w:rPr>
              <w:t xml:space="preserve"> </w:t>
            </w:r>
            <w:r w:rsidR="00CD4FBC" w:rsidRPr="00102FCC">
              <w:rPr>
                <w:b/>
                <w:bCs/>
              </w:rPr>
              <w:t>can be used with all deferred compensation</w:t>
            </w:r>
            <w:r w:rsidR="00CD4FBC" w:rsidRPr="00773850">
              <w:t xml:space="preserve"> arrangements including </w:t>
            </w:r>
            <w:r w:rsidR="00B32820" w:rsidRPr="00773850">
              <w:t xml:space="preserve">SERPs, NQDC, </w:t>
            </w:r>
            <w:r w:rsidR="00CD4FBC" w:rsidRPr="00773850">
              <w:t>stock deferral plans</w:t>
            </w:r>
            <w:r w:rsidR="00773850">
              <w:t>,</w:t>
            </w:r>
            <w:r w:rsidR="00CD4FBC" w:rsidRPr="00773850">
              <w:t xml:space="preserve"> and nonprofit organization</w:t>
            </w:r>
            <w:r w:rsidR="00810272">
              <w:t>s’</w:t>
            </w:r>
            <w:r w:rsidR="00CD4FBC" w:rsidRPr="00773850">
              <w:t xml:space="preserve"> 457(b) and 457(f) plans.</w:t>
            </w:r>
          </w:p>
          <w:p w14:paraId="40CAAA87" w14:textId="77777777" w:rsidR="00102FCC" w:rsidRPr="00773850" w:rsidRDefault="00102FCC" w:rsidP="00102FCC">
            <w:pPr>
              <w:pStyle w:val="ListParagraph"/>
            </w:pPr>
          </w:p>
          <w:p w14:paraId="542791FD" w14:textId="4E1BABB2" w:rsidR="00102FCC" w:rsidRDefault="00773850" w:rsidP="00102FCC">
            <w:pPr>
              <w:pStyle w:val="ListParagraph"/>
              <w:numPr>
                <w:ilvl w:val="0"/>
                <w:numId w:val="10"/>
              </w:numPr>
            </w:pPr>
            <w:r w:rsidRPr="00102FCC">
              <w:rPr>
                <w:b/>
                <w:bCs/>
              </w:rPr>
              <w:t xml:space="preserve">The NQDC </w:t>
            </w:r>
            <w:r w:rsidR="002D0363">
              <w:rPr>
                <w:b/>
                <w:bCs/>
              </w:rPr>
              <w:t>Exit Strategy</w:t>
            </w:r>
            <w:r w:rsidRPr="00102FCC">
              <w:rPr>
                <w:b/>
                <w:bCs/>
              </w:rPr>
              <w:t xml:space="preserve"> </w:t>
            </w:r>
            <w:r w:rsidR="00C756EE">
              <w:rPr>
                <w:b/>
                <w:bCs/>
              </w:rPr>
              <w:t xml:space="preserve">has the potential to </w:t>
            </w:r>
            <w:r w:rsidRPr="00102FCC">
              <w:rPr>
                <w:b/>
                <w:bCs/>
              </w:rPr>
              <w:t>create greater after-tax income at retirement</w:t>
            </w:r>
            <w:r w:rsidRPr="00773850">
              <w:t xml:space="preserve"> </w:t>
            </w:r>
            <w:r w:rsidR="00CD4FBC" w:rsidRPr="00773850">
              <w:t>over what the executive could do on their own</w:t>
            </w:r>
            <w:r w:rsidR="00B32820" w:rsidRPr="00773850">
              <w:t xml:space="preserve"> in an individual investment portfolio. </w:t>
            </w:r>
            <w:r w:rsidR="00E81BC6" w:rsidRPr="00773850">
              <w:t>Section 409A was added to the </w:t>
            </w:r>
            <w:hyperlink r:id="rId9" w:tooltip="Internal Revenue Code" w:history="1">
              <w:r w:rsidR="00E81BC6" w:rsidRPr="00773850">
                <w:rPr>
                  <w:rStyle w:val="Hyperlink"/>
                </w:rPr>
                <w:t>Internal Revenue Code</w:t>
              </w:r>
            </w:hyperlink>
            <w:r w:rsidR="00E81BC6" w:rsidRPr="00773850">
              <w:t>, effective January 1, 2005, under Section 885 of the </w:t>
            </w:r>
            <w:hyperlink r:id="rId10" w:tooltip="American Jobs Creation Act of 2004" w:history="1">
              <w:r w:rsidR="00E81BC6" w:rsidRPr="00773850">
                <w:rPr>
                  <w:rStyle w:val="Hyperlink"/>
                </w:rPr>
                <w:t>American Jobs Creation Act of 2004</w:t>
              </w:r>
            </w:hyperlink>
            <w:r w:rsidR="00E81BC6" w:rsidRPr="00773850">
              <w:t xml:space="preserve"> and added complexity to an executive’s decision making options for retirement income. </w:t>
            </w:r>
          </w:p>
          <w:p w14:paraId="3308F692" w14:textId="77777777" w:rsidR="00102FCC" w:rsidRDefault="00102FCC" w:rsidP="00102FCC">
            <w:pPr>
              <w:pStyle w:val="ListParagraph"/>
            </w:pPr>
          </w:p>
          <w:p w14:paraId="113AD75B" w14:textId="1B515722" w:rsidR="00E81BC6" w:rsidRPr="00773850" w:rsidRDefault="00E81BC6" w:rsidP="00102FCC">
            <w:pPr>
              <w:pStyle w:val="ListParagraph"/>
            </w:pPr>
            <w:r w:rsidRPr="00773850">
              <w:t>The effects of Section 409A are far-reaching, because of the exceptionally broad definition of "deferral of compensation." Section 409A was enacted, in part, in response to the practice of </w:t>
            </w:r>
            <w:hyperlink r:id="rId11" w:tooltip="Enron" w:history="1">
              <w:r w:rsidRPr="00773850">
                <w:rPr>
                  <w:rStyle w:val="Hyperlink"/>
                </w:rPr>
                <w:t>Enron</w:t>
              </w:r>
            </w:hyperlink>
            <w:r w:rsidRPr="00773850">
              <w:t> executives accelerating the payments under their </w:t>
            </w:r>
            <w:hyperlink r:id="rId12" w:tooltip="Deferred compensation" w:history="1">
              <w:r w:rsidRPr="00773850">
                <w:rPr>
                  <w:rStyle w:val="Hyperlink"/>
                </w:rPr>
                <w:t>deferred compensation</w:t>
              </w:r>
            </w:hyperlink>
            <w:r w:rsidRPr="00773850">
              <w:t> plans in order to access the money before the </w:t>
            </w:r>
            <w:hyperlink r:id="rId13" w:tooltip="Enron scandal" w:history="1">
              <w:r w:rsidRPr="00773850">
                <w:rPr>
                  <w:rStyle w:val="Hyperlink"/>
                </w:rPr>
                <w:t>company went bankrupt</w:t>
              </w:r>
            </w:hyperlink>
            <w:r w:rsidR="00102FCC">
              <w:t>,</w:t>
            </w:r>
            <w:r w:rsidRPr="00773850">
              <w:t xml:space="preserve"> and also in part in response to a history of perceived tax-timing abuse due to limited enforcement of the </w:t>
            </w:r>
            <w:hyperlink r:id="rId14" w:tooltip="Constructive receipt" w:history="1">
              <w:r w:rsidRPr="00773850">
                <w:rPr>
                  <w:rStyle w:val="Hyperlink"/>
                </w:rPr>
                <w:t>constructive receipt</w:t>
              </w:r>
            </w:hyperlink>
            <w:r w:rsidRPr="00773850">
              <w:t> tax doctrine.</w:t>
            </w:r>
          </w:p>
          <w:p w14:paraId="2F6F7BBE" w14:textId="77777777" w:rsidR="00102FCC" w:rsidRDefault="00102FCC" w:rsidP="00102FCC"/>
          <w:p w14:paraId="6EAF1697" w14:textId="6ABBB932" w:rsidR="00102FCC" w:rsidRPr="00773850" w:rsidRDefault="00102FCC" w:rsidP="00102FCC">
            <w:r w:rsidRPr="00773850">
              <w:t>The adoption of 409A has made it more difficult to add flexibility into an executive’s retirement options.</w:t>
            </w:r>
          </w:p>
          <w:p w14:paraId="055CB48D" w14:textId="61B10874" w:rsidR="00B2550E" w:rsidRPr="00773850" w:rsidRDefault="00102FCC" w:rsidP="00102FCC">
            <w:r w:rsidRPr="00773850">
              <w:t>This paper</w:t>
            </w:r>
            <w:r w:rsidR="00C571E5">
              <w:t xml:space="preserve"> </w:t>
            </w:r>
            <w:r w:rsidRPr="00773850">
              <w:t>focus</w:t>
            </w:r>
            <w:r w:rsidR="00C571E5">
              <w:t>es</w:t>
            </w:r>
            <w:r w:rsidRPr="00773850">
              <w:t xml:space="preserve"> on the distribution of dollars from deferred compensation arrangements and introduce</w:t>
            </w:r>
            <w:r w:rsidR="00C571E5">
              <w:t>s</w:t>
            </w:r>
            <w:r w:rsidRPr="00773850">
              <w:t xml:space="preserve"> you to a concept that executives are find</w:t>
            </w:r>
            <w:r w:rsidR="00C571E5">
              <w:t>ing</w:t>
            </w:r>
            <w:r w:rsidRPr="00773850">
              <w:t xml:space="preserve"> attractive, </w:t>
            </w:r>
            <w:r w:rsidRPr="00C571E5">
              <w:rPr>
                <w:rFonts w:ascii="Arial Black" w:hAnsi="Arial Black"/>
                <w:sz w:val="20"/>
                <w:szCs w:val="20"/>
              </w:rPr>
              <w:t xml:space="preserve">The NQDC </w:t>
            </w:r>
            <w:r w:rsidR="002D0363">
              <w:rPr>
                <w:rFonts w:ascii="Arial Black" w:hAnsi="Arial Black"/>
                <w:sz w:val="20"/>
                <w:szCs w:val="20"/>
              </w:rPr>
              <w:t>Exit Strategy</w:t>
            </w:r>
            <w:r w:rsidR="00C571E5" w:rsidRPr="00C571E5">
              <w:rPr>
                <w:rFonts w:ascii="Arial Black" w:hAnsi="Arial Black"/>
                <w:sz w:val="20"/>
                <w:szCs w:val="20"/>
              </w:rPr>
              <w:t>.</w:t>
            </w:r>
          </w:p>
          <w:p w14:paraId="77EF16BF" w14:textId="77777777" w:rsidR="00094844" w:rsidRPr="00773850" w:rsidRDefault="00094844" w:rsidP="00773850"/>
          <w:p w14:paraId="7FD5A64F" w14:textId="77777777" w:rsidR="00E81BC6" w:rsidRPr="00472F7D" w:rsidRDefault="00E81BC6" w:rsidP="00773850">
            <w:pPr>
              <w:rPr>
                <w:rFonts w:ascii="Arial Black" w:hAnsi="Arial Black"/>
              </w:rPr>
            </w:pPr>
            <w:r w:rsidRPr="00472F7D">
              <w:rPr>
                <w:rFonts w:ascii="Arial Black" w:hAnsi="Arial Black"/>
              </w:rPr>
              <w:t>Current Distribution Options</w:t>
            </w:r>
          </w:p>
          <w:p w14:paraId="22BDA286" w14:textId="529F638A" w:rsidR="004E714C" w:rsidRPr="002A054A" w:rsidRDefault="00E81BC6" w:rsidP="00C571E5">
            <w:pPr>
              <w:spacing w:line="276" w:lineRule="auto"/>
            </w:pPr>
            <w:r w:rsidRPr="002A054A">
              <w:t>In most 409A</w:t>
            </w:r>
            <w:r w:rsidR="00C571E5" w:rsidRPr="002A054A">
              <w:t>-c</w:t>
            </w:r>
            <w:r w:rsidRPr="002A054A">
              <w:t>ompliant</w:t>
            </w:r>
            <w:r w:rsidR="00C571E5" w:rsidRPr="002A054A">
              <w:t xml:space="preserve"> NQDC plans, </w:t>
            </w:r>
            <w:r w:rsidRPr="002A054A">
              <w:t xml:space="preserve">a participant </w:t>
            </w:r>
            <w:r w:rsidR="00C571E5" w:rsidRPr="002A054A">
              <w:t>can</w:t>
            </w:r>
            <w:r w:rsidRPr="002A054A">
              <w:t xml:space="preserve"> defer compensation to a future </w:t>
            </w:r>
            <w:r w:rsidR="004228F4" w:rsidRPr="002A054A">
              <w:t>date and</w:t>
            </w:r>
            <w:r w:rsidRPr="002A054A">
              <w:t xml:space="preserve"> take distribution</w:t>
            </w:r>
            <w:r w:rsidR="00C756EE">
              <w:t>s</w:t>
            </w:r>
            <w:r w:rsidRPr="002A054A">
              <w:t xml:space="preserve"> in a </w:t>
            </w:r>
            <w:r w:rsidR="004228F4" w:rsidRPr="002A054A">
              <w:t>lump</w:t>
            </w:r>
            <w:r w:rsidRPr="002A054A">
              <w:t xml:space="preserve"> sum or over</w:t>
            </w:r>
            <w:r w:rsidR="00C756EE">
              <w:t xml:space="preserve"> time</w:t>
            </w:r>
            <w:r w:rsidRPr="002A054A">
              <w:t xml:space="preserve">. As an example, an executive could defer 2020 bonus compensation, and elect to take that money at retirement over </w:t>
            </w:r>
            <w:r w:rsidR="00CD4FBC" w:rsidRPr="002A054A">
              <w:t xml:space="preserve">5, 10 or </w:t>
            </w:r>
            <w:r w:rsidRPr="002A054A">
              <w:t>15 year</w:t>
            </w:r>
            <w:r w:rsidR="00CD4FBC" w:rsidRPr="002A054A">
              <w:t>s</w:t>
            </w:r>
            <w:r w:rsidRPr="002A054A">
              <w:t>. The advantage</w:t>
            </w:r>
            <w:r w:rsidR="00C571E5" w:rsidRPr="002A054A">
              <w:t xml:space="preserve"> to </w:t>
            </w:r>
            <w:r w:rsidR="00C756EE">
              <w:t>installments is the continued comp</w:t>
            </w:r>
            <w:r w:rsidRPr="002A054A">
              <w:t>ounding</w:t>
            </w:r>
            <w:r w:rsidR="00C756EE">
              <w:t xml:space="preserve"> of </w:t>
            </w:r>
            <w:r w:rsidRPr="002A054A">
              <w:t>tax</w:t>
            </w:r>
            <w:r w:rsidR="00C571E5" w:rsidRPr="002A054A">
              <w:t>-</w:t>
            </w:r>
            <w:r w:rsidRPr="002A054A">
              <w:t>deferred earnings on the unpaid balance.</w:t>
            </w:r>
          </w:p>
          <w:p w14:paraId="6F01A4D8" w14:textId="77DFC77B" w:rsidR="004E714C" w:rsidRPr="002A054A" w:rsidRDefault="004E714C" w:rsidP="00C571E5">
            <w:pPr>
              <w:spacing w:line="276" w:lineRule="auto"/>
            </w:pPr>
            <w:r w:rsidRPr="002A054A">
              <w:t>For those deferring in high income states</w:t>
            </w:r>
            <w:r w:rsidR="00CD4FBC" w:rsidRPr="002A054A">
              <w:t xml:space="preserve"> like </w:t>
            </w:r>
            <w:r w:rsidR="004228F4" w:rsidRPr="002A054A">
              <w:t xml:space="preserve">California </w:t>
            </w:r>
            <w:r w:rsidR="00B32820" w:rsidRPr="002A054A">
              <w:t>or New York</w:t>
            </w:r>
            <w:r w:rsidR="00C571E5" w:rsidRPr="002A054A">
              <w:t>,</w:t>
            </w:r>
            <w:r w:rsidR="00B32820" w:rsidRPr="002A054A">
              <w:t xml:space="preserve"> </w:t>
            </w:r>
            <w:r w:rsidR="004228F4" w:rsidRPr="002A054A">
              <w:t>and</w:t>
            </w:r>
            <w:r w:rsidRPr="002A054A">
              <w:t xml:space="preserve"> retiring in much lower tax states</w:t>
            </w:r>
            <w:r w:rsidR="00C571E5" w:rsidRPr="002A054A">
              <w:t>,</w:t>
            </w:r>
            <w:r w:rsidRPr="002A054A">
              <w:t xml:space="preserve"> they can minimize or eliminate the state tax with proper planning, using the Source Tax Law.</w:t>
            </w:r>
          </w:p>
          <w:p w14:paraId="510B7813" w14:textId="3DC383CC" w:rsidR="004E714C" w:rsidRPr="002A054A" w:rsidRDefault="004E714C" w:rsidP="00C571E5">
            <w:pPr>
              <w:spacing w:line="276" w:lineRule="auto"/>
            </w:pPr>
            <w:r w:rsidRPr="002A054A">
              <w:t xml:space="preserve">Typically, an individual is subject to income taxation by the state in which he or she lives when the income is received. Some states, however, attempt to tax nonresidents on this income on the basis that it was earned, or had its source, in the first state. Retirement income has been a key target of this type of state taxation. Under the federal "Source Tax Law," however, retirement income meeting certain conditions will be taxable only by the recipient's state of residence at the time of payment, regardless of its "source." </w:t>
            </w:r>
          </w:p>
          <w:p w14:paraId="7FEA778F" w14:textId="77777777" w:rsidR="004E714C" w:rsidRPr="002A054A" w:rsidRDefault="004E714C" w:rsidP="00C571E5">
            <w:pPr>
              <w:spacing w:line="276" w:lineRule="auto"/>
            </w:pPr>
            <w:r w:rsidRPr="002A054A">
              <w:t xml:space="preserve">"Retirement income" also includes certain income from nonqualified deferred compensation plans. Specifically, amounts payable from such plans will be protected if either: </w:t>
            </w:r>
          </w:p>
          <w:p w14:paraId="5E469391" w14:textId="29077868" w:rsidR="0029566C" w:rsidRPr="002A054A" w:rsidRDefault="004E714C" w:rsidP="00AC1DDC">
            <w:pPr>
              <w:pStyle w:val="ListParagraph"/>
              <w:numPr>
                <w:ilvl w:val="0"/>
                <w:numId w:val="18"/>
              </w:numPr>
              <w:spacing w:line="276" w:lineRule="auto"/>
            </w:pPr>
            <w:r w:rsidRPr="002A054A">
              <w:t>The income is part of a series of substantially equal periodic payments (not less frequently than annually) made for 1) the life or life expectancy of the recipient (or the joint lives or joint life expectancies of the recipient and his or her designated beneficiary)</w:t>
            </w:r>
            <w:r w:rsidR="00C571E5" w:rsidRPr="002A054A">
              <w:t>;</w:t>
            </w:r>
            <w:r w:rsidRPr="002A054A">
              <w:t xml:space="preserve"> or 2) a period of not less than ten years</w:t>
            </w:r>
            <w:r w:rsidR="00C571E5" w:rsidRPr="002A054A">
              <w:t>.</w:t>
            </w:r>
          </w:p>
          <w:p w14:paraId="1735D925" w14:textId="34DDB081" w:rsidR="00E81BC6" w:rsidRPr="002A054A" w:rsidRDefault="004E714C" w:rsidP="00AC1DDC">
            <w:pPr>
              <w:pStyle w:val="ListParagraph"/>
              <w:numPr>
                <w:ilvl w:val="0"/>
                <w:numId w:val="18"/>
              </w:numPr>
            </w:pPr>
            <w:r w:rsidRPr="002A054A">
              <w:t xml:space="preserve">The income is a payment made: 1) after termination of employment; and 2) under a plan, program or arrangement maintained solely for the purpose of providing retirement benefits for employees in excess of the limitations imposed by one or more of certain enumerated sections of the Code applicable to tax-qualified retirement plans ("Excess Plans"). </w:t>
            </w:r>
            <w:r w:rsidR="00E81BC6" w:rsidRPr="002A054A">
              <w:t xml:space="preserve"> </w:t>
            </w:r>
          </w:p>
          <w:p w14:paraId="165F1B0E" w14:textId="6C4C083F" w:rsidR="002A054A" w:rsidRPr="00472F7D" w:rsidRDefault="002A054A" w:rsidP="00773850"/>
          <w:p w14:paraId="158DAF79" w14:textId="42012A49" w:rsidR="004E714C" w:rsidRPr="00472F7D" w:rsidRDefault="004E714C" w:rsidP="00773850">
            <w:pPr>
              <w:rPr>
                <w:rFonts w:ascii="Arial Black" w:hAnsi="Arial Black" w:cstheme="minorHAnsi"/>
              </w:rPr>
            </w:pPr>
            <w:r w:rsidRPr="00472F7D">
              <w:rPr>
                <w:rFonts w:ascii="Arial Black" w:hAnsi="Arial Black" w:cstheme="minorHAnsi"/>
              </w:rPr>
              <w:t xml:space="preserve">Risk Factors in </w:t>
            </w:r>
            <w:r w:rsidR="00F717CD" w:rsidRPr="00472F7D">
              <w:rPr>
                <w:rFonts w:ascii="Arial Black" w:hAnsi="Arial Black" w:cstheme="minorHAnsi"/>
              </w:rPr>
              <w:t>Multiple</w:t>
            </w:r>
            <w:r w:rsidRPr="00472F7D">
              <w:rPr>
                <w:rFonts w:ascii="Arial Black" w:hAnsi="Arial Black" w:cstheme="minorHAnsi"/>
              </w:rPr>
              <w:t xml:space="preserve"> Year Distributions from NQDC</w:t>
            </w:r>
          </w:p>
          <w:p w14:paraId="3F6BAC32" w14:textId="086B4048" w:rsidR="004E714C" w:rsidRPr="00773850" w:rsidRDefault="004E714C" w:rsidP="00773850"/>
        </w:tc>
      </w:tr>
      <w:tr w:rsidR="00E81BC6" w:rsidRPr="00360945" w14:paraId="5578606C" w14:textId="77777777" w:rsidTr="00E81BC6">
        <w:trPr>
          <w:trHeight w:val="68"/>
        </w:trPr>
        <w:tc>
          <w:tcPr>
            <w:tcW w:w="0" w:type="auto"/>
            <w:shd w:val="clear" w:color="auto" w:fill="auto"/>
            <w:tcMar>
              <w:top w:w="0" w:type="dxa"/>
              <w:left w:w="0" w:type="dxa"/>
              <w:bottom w:w="0" w:type="dxa"/>
              <w:right w:w="0" w:type="dxa"/>
            </w:tcMar>
            <w:vAlign w:val="center"/>
            <w:hideMark/>
          </w:tcPr>
          <w:p w14:paraId="133AE538" w14:textId="0150FC3A" w:rsidR="00E81BC6" w:rsidRPr="00360945" w:rsidRDefault="00E81BC6" w:rsidP="00E81BC6">
            <w:pPr>
              <w:spacing w:after="0" w:line="240" w:lineRule="auto"/>
              <w:rPr>
                <w:rFonts w:eastAsia="Times New Roman" w:cstheme="minorHAnsi"/>
                <w:sz w:val="28"/>
                <w:szCs w:val="28"/>
              </w:rPr>
            </w:pPr>
          </w:p>
        </w:tc>
      </w:tr>
    </w:tbl>
    <w:p w14:paraId="66676792" w14:textId="36CE78FF" w:rsidR="00E81BC6" w:rsidRPr="002A054A" w:rsidRDefault="00E81BC6" w:rsidP="00E81BC6">
      <w:pPr>
        <w:spacing w:after="100" w:afterAutospacing="1" w:line="240" w:lineRule="auto"/>
        <w:rPr>
          <w:rFonts w:eastAsia="Times New Roman" w:cstheme="minorHAnsi"/>
        </w:rPr>
      </w:pPr>
      <w:r w:rsidRPr="002A054A">
        <w:rPr>
          <w:rFonts w:eastAsia="Times New Roman" w:cstheme="minorHAnsi"/>
        </w:rPr>
        <w:t xml:space="preserve">Despite the benefits, many executives with </w:t>
      </w:r>
      <w:r w:rsidR="004610D9" w:rsidRPr="002A054A">
        <w:rPr>
          <w:rFonts w:eastAsia="Times New Roman" w:cstheme="minorHAnsi"/>
        </w:rPr>
        <w:t>large account balances have elected to take lump</w:t>
      </w:r>
      <w:r w:rsidR="009C4B63">
        <w:rPr>
          <w:rFonts w:eastAsia="Times New Roman" w:cstheme="minorHAnsi"/>
        </w:rPr>
        <w:t>-</w:t>
      </w:r>
      <w:r w:rsidR="004610D9" w:rsidRPr="002A054A">
        <w:rPr>
          <w:rFonts w:eastAsia="Times New Roman" w:cstheme="minorHAnsi"/>
        </w:rPr>
        <w:t xml:space="preserve">sum payments at retirement due to </w:t>
      </w:r>
      <w:r w:rsidR="002A054A">
        <w:rPr>
          <w:rFonts w:eastAsia="Times New Roman" w:cstheme="minorHAnsi"/>
        </w:rPr>
        <w:t>five</w:t>
      </w:r>
      <w:r w:rsidR="004610D9" w:rsidRPr="002A054A">
        <w:rPr>
          <w:rFonts w:eastAsia="Times New Roman" w:cstheme="minorHAnsi"/>
        </w:rPr>
        <w:t xml:space="preserve"> risk</w:t>
      </w:r>
      <w:r w:rsidR="0029566C" w:rsidRPr="002A054A">
        <w:rPr>
          <w:rFonts w:eastAsia="Times New Roman" w:cstheme="minorHAnsi"/>
        </w:rPr>
        <w:t xml:space="preserve"> factors</w:t>
      </w:r>
      <w:r w:rsidR="002A054A">
        <w:rPr>
          <w:rFonts w:eastAsia="Times New Roman" w:cstheme="minorHAnsi"/>
        </w:rPr>
        <w:t xml:space="preserve"> which</w:t>
      </w:r>
      <w:r w:rsidRPr="002A054A">
        <w:rPr>
          <w:rFonts w:eastAsia="Times New Roman" w:cstheme="minorHAnsi"/>
        </w:rPr>
        <w:t xml:space="preserve"> include: </w:t>
      </w:r>
    </w:p>
    <w:p w14:paraId="27FD4161" w14:textId="53B1846F" w:rsidR="00E81BC6" w:rsidRDefault="004610D9" w:rsidP="002A054A">
      <w:pPr>
        <w:numPr>
          <w:ilvl w:val="0"/>
          <w:numId w:val="12"/>
        </w:numPr>
        <w:spacing w:after="0" w:line="240" w:lineRule="auto"/>
        <w:rPr>
          <w:rFonts w:eastAsia="Times New Roman" w:cstheme="minorHAnsi"/>
        </w:rPr>
      </w:pPr>
      <w:r w:rsidRPr="002A054A">
        <w:rPr>
          <w:rFonts w:eastAsia="Times New Roman" w:cstheme="minorHAnsi"/>
          <w:b/>
          <w:bCs/>
        </w:rPr>
        <w:t>Creditor Risk</w:t>
      </w:r>
      <w:r w:rsidR="002A054A">
        <w:rPr>
          <w:rFonts w:eastAsia="Times New Roman" w:cstheme="minorHAnsi"/>
        </w:rPr>
        <w:t xml:space="preserve">. </w:t>
      </w:r>
      <w:r w:rsidRPr="002A054A">
        <w:rPr>
          <w:rFonts w:eastAsia="Times New Roman" w:cstheme="minorHAnsi"/>
        </w:rPr>
        <w:t>Participants in a NQDC plan are subject to the claims of the employer’s creditors.</w:t>
      </w:r>
      <w:r w:rsidR="00E81BC6" w:rsidRPr="002A054A">
        <w:rPr>
          <w:rFonts w:eastAsia="Times New Roman" w:cstheme="minorHAnsi"/>
        </w:rPr>
        <w:t xml:space="preserve"> </w:t>
      </w:r>
      <w:r w:rsidR="00CD4FBC" w:rsidRPr="002A054A">
        <w:rPr>
          <w:rFonts w:eastAsia="Times New Roman" w:cstheme="minorHAnsi"/>
        </w:rPr>
        <w:t xml:space="preserve">If the sponsoring employer becomes </w:t>
      </w:r>
      <w:r w:rsidR="004228F4" w:rsidRPr="002A054A">
        <w:rPr>
          <w:rFonts w:eastAsia="Times New Roman" w:cstheme="minorHAnsi"/>
        </w:rPr>
        <w:t>insolvent,</w:t>
      </w:r>
      <w:r w:rsidR="00CD4FBC" w:rsidRPr="002A054A">
        <w:rPr>
          <w:rFonts w:eastAsia="Times New Roman" w:cstheme="minorHAnsi"/>
        </w:rPr>
        <w:t xml:space="preserve"> </w:t>
      </w:r>
      <w:r w:rsidR="00896E79">
        <w:rPr>
          <w:rFonts w:eastAsia="Times New Roman" w:cstheme="minorHAnsi"/>
        </w:rPr>
        <w:t>participants</w:t>
      </w:r>
      <w:r w:rsidR="00CD4FBC" w:rsidRPr="002A054A">
        <w:rPr>
          <w:rFonts w:eastAsia="Times New Roman" w:cstheme="minorHAnsi"/>
        </w:rPr>
        <w:t xml:space="preserve"> stand in line as an “unsecured general creditor.”</w:t>
      </w:r>
    </w:p>
    <w:p w14:paraId="2D599FC7" w14:textId="77777777" w:rsidR="002A054A" w:rsidRDefault="002A054A" w:rsidP="002A054A">
      <w:pPr>
        <w:spacing w:after="0" w:line="240" w:lineRule="auto"/>
        <w:ind w:left="1080"/>
        <w:rPr>
          <w:rFonts w:eastAsia="Times New Roman" w:cstheme="minorHAnsi"/>
        </w:rPr>
      </w:pPr>
    </w:p>
    <w:p w14:paraId="39C1EAF3" w14:textId="2974293C" w:rsidR="00E81BC6" w:rsidRDefault="00E81BC6" w:rsidP="002A054A">
      <w:pPr>
        <w:numPr>
          <w:ilvl w:val="0"/>
          <w:numId w:val="12"/>
        </w:numPr>
        <w:spacing w:after="0" w:line="240" w:lineRule="auto"/>
        <w:rPr>
          <w:rFonts w:eastAsia="Times New Roman" w:cstheme="minorHAnsi"/>
        </w:rPr>
      </w:pPr>
      <w:r w:rsidRPr="002A054A">
        <w:rPr>
          <w:rFonts w:eastAsia="Times New Roman" w:cstheme="minorHAnsi"/>
          <w:b/>
          <w:bCs/>
        </w:rPr>
        <w:t xml:space="preserve">Income </w:t>
      </w:r>
      <w:r w:rsidR="004610D9" w:rsidRPr="002A054A">
        <w:rPr>
          <w:rFonts w:eastAsia="Times New Roman" w:cstheme="minorHAnsi"/>
          <w:b/>
          <w:bCs/>
        </w:rPr>
        <w:t>T</w:t>
      </w:r>
      <w:r w:rsidRPr="002A054A">
        <w:rPr>
          <w:rFonts w:eastAsia="Times New Roman" w:cstheme="minorHAnsi"/>
          <w:b/>
          <w:bCs/>
        </w:rPr>
        <w:t xml:space="preserve">ax </w:t>
      </w:r>
      <w:r w:rsidR="004610D9" w:rsidRPr="002A054A">
        <w:rPr>
          <w:rFonts w:eastAsia="Times New Roman" w:cstheme="minorHAnsi"/>
          <w:b/>
          <w:bCs/>
        </w:rPr>
        <w:t>Risk</w:t>
      </w:r>
      <w:r w:rsidR="002A054A">
        <w:rPr>
          <w:rFonts w:eastAsia="Times New Roman" w:cstheme="minorHAnsi"/>
        </w:rPr>
        <w:t xml:space="preserve">. </w:t>
      </w:r>
      <w:r w:rsidR="004610D9" w:rsidRPr="002A054A">
        <w:rPr>
          <w:rFonts w:eastAsia="Times New Roman" w:cstheme="minorHAnsi"/>
        </w:rPr>
        <w:t>Distributions are taxed at the current tax rates in place at the time of distribution. Rates may increase in the future</w:t>
      </w:r>
      <w:r w:rsidR="00896E79">
        <w:rPr>
          <w:rFonts w:eastAsia="Times New Roman" w:cstheme="minorHAnsi"/>
        </w:rPr>
        <w:t>,</w:t>
      </w:r>
      <w:r w:rsidR="00CD4FBC" w:rsidRPr="002A054A">
        <w:rPr>
          <w:rFonts w:eastAsia="Times New Roman" w:cstheme="minorHAnsi"/>
        </w:rPr>
        <w:t xml:space="preserve"> especially with the increase of Federal spending around COVID </w:t>
      </w:r>
      <w:r w:rsidR="004228F4" w:rsidRPr="002A054A">
        <w:rPr>
          <w:rFonts w:eastAsia="Times New Roman" w:cstheme="minorHAnsi"/>
        </w:rPr>
        <w:t>19.</w:t>
      </w:r>
      <w:r w:rsidRPr="002A054A">
        <w:rPr>
          <w:rFonts w:eastAsia="Times New Roman" w:cstheme="minorHAnsi"/>
        </w:rPr>
        <w:t xml:space="preserve"> </w:t>
      </w:r>
    </w:p>
    <w:p w14:paraId="07C8E330" w14:textId="3AD89A30" w:rsidR="002A054A" w:rsidRPr="002A054A" w:rsidRDefault="002A054A" w:rsidP="002A054A">
      <w:pPr>
        <w:spacing w:after="100" w:afterAutospacing="1" w:line="240" w:lineRule="auto"/>
        <w:ind w:left="1080"/>
        <w:rPr>
          <w:rFonts w:eastAsia="Times New Roman" w:cstheme="minorHAnsi"/>
        </w:rPr>
      </w:pPr>
    </w:p>
    <w:p w14:paraId="34B2F17E" w14:textId="1574493B" w:rsidR="00787150" w:rsidRDefault="006416AC" w:rsidP="00787150">
      <w:pPr>
        <w:spacing w:after="0" w:line="240" w:lineRule="auto"/>
        <w:ind w:left="720"/>
        <w:rPr>
          <w:rFonts w:eastAsia="Times New Roman" w:cstheme="minorHAnsi"/>
        </w:rPr>
      </w:pPr>
      <w:r>
        <w:rPr>
          <w:rFonts w:eastAsia="Times New Roman" w:cstheme="minorHAnsi"/>
          <w:noProof/>
        </w:rPr>
        <w:lastRenderedPageBreak/>
        <mc:AlternateContent>
          <mc:Choice Requires="wpg">
            <w:drawing>
              <wp:anchor distT="0" distB="0" distL="114300" distR="114300" simplePos="0" relativeHeight="251661312" behindDoc="0" locked="0" layoutInCell="1" allowOverlap="1" wp14:anchorId="292A1C46" wp14:editId="41FEB41E">
                <wp:simplePos x="0" y="0"/>
                <wp:positionH relativeFrom="column">
                  <wp:posOffset>1628775</wp:posOffset>
                </wp:positionH>
                <wp:positionV relativeFrom="paragraph">
                  <wp:posOffset>9525</wp:posOffset>
                </wp:positionV>
                <wp:extent cx="2981325" cy="2762250"/>
                <wp:effectExtent l="0" t="0" r="9525" b="19050"/>
                <wp:wrapNone/>
                <wp:docPr id="5" name="Group 5"/>
                <wp:cNvGraphicFramePr/>
                <a:graphic xmlns:a="http://schemas.openxmlformats.org/drawingml/2006/main">
                  <a:graphicData uri="http://schemas.microsoft.com/office/word/2010/wordprocessingGroup">
                    <wpg:wgp>
                      <wpg:cNvGrpSpPr/>
                      <wpg:grpSpPr>
                        <a:xfrm>
                          <a:off x="0" y="0"/>
                          <a:ext cx="2981325" cy="2762250"/>
                          <a:chOff x="0" y="0"/>
                          <a:chExt cx="2981325" cy="2762250"/>
                        </a:xfrm>
                      </wpg:grpSpPr>
                      <wps:wsp>
                        <wps:cNvPr id="3" name="Oval 3"/>
                        <wps:cNvSpPr/>
                        <wps:spPr>
                          <a:xfrm>
                            <a:off x="1019175" y="1104900"/>
                            <a:ext cx="1009650" cy="666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F0CAD6" w14:textId="67FBD4B9" w:rsidR="004E132D" w:rsidRPr="00787150" w:rsidRDefault="004E132D" w:rsidP="00787150">
                              <w:pPr>
                                <w:jc w:val="center"/>
                                <w:rPr>
                                  <w:rFonts w:ascii="Arial Black" w:hAnsi="Arial Black"/>
                                  <w:b/>
                                  <w:bCs/>
                                  <w:sz w:val="20"/>
                                  <w:szCs w:val="20"/>
                                </w:rPr>
                              </w:pPr>
                              <w:r w:rsidRPr="00787150">
                                <w:rPr>
                                  <w:rFonts w:ascii="Arial Black" w:hAnsi="Arial Black"/>
                                  <w:b/>
                                  <w:bCs/>
                                  <w:sz w:val="20"/>
                                  <w:szCs w:val="20"/>
                                </w:rPr>
                                <w:t>Risk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 name="Diagram 2"/>
                        <wpg:cNvFrPr/>
                        <wpg:xfrm>
                          <a:off x="0" y="0"/>
                          <a:ext cx="2981325" cy="276225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wgp>
                  </a:graphicData>
                </a:graphic>
              </wp:anchor>
            </w:drawing>
          </mc:Choice>
          <mc:Fallback>
            <w:pict>
              <v:group w14:anchorId="292A1C46" id="Group 5" o:spid="_x0000_s1026" style="position:absolute;left:0;text-align:left;margin-left:128.25pt;margin-top:.75pt;width:234.75pt;height:217.5pt;z-index:251661312" coordsize="29813,2762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">
                <v:oval id="Oval 3" o:spid="_x0000_s1027" style="position:absolute;left:10191;top:11049;width:1009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4472c4 [3204]" strokecolor="#1f3763 [1604]" strokeweight="1pt">
                  <v:stroke joinstyle="miter"/>
                  <v:textbox>
                    <w:txbxContent>
                      <w:p w14:paraId="1AF0CAD6" w14:textId="67FBD4B9" w:rsidR="004E132D" w:rsidRPr="00787150" w:rsidRDefault="004E132D" w:rsidP="00787150">
                        <w:pPr>
                          <w:jc w:val="center"/>
                          <w:rPr>
                            <w:rFonts w:ascii="Arial Black" w:hAnsi="Arial Black"/>
                            <w:b/>
                            <w:bCs/>
                            <w:sz w:val="20"/>
                            <w:szCs w:val="20"/>
                          </w:rPr>
                        </w:pPr>
                        <w:r w:rsidRPr="00787150">
                          <w:rPr>
                            <w:rFonts w:ascii="Arial Black" w:hAnsi="Arial Black"/>
                            <w:b/>
                            <w:bCs/>
                            <w:sz w:val="20"/>
                            <w:szCs w:val="20"/>
                          </w:rPr>
                          <w:t>Risk Areas</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8" type="#_x0000_t75" style="position:absolute;left:426;top:-60;width:29444;height:277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">
                  <v:imagedata r:id="rId20" o:title=""/>
                  <o:lock v:ext="edit" aspectratio="f"/>
                </v:shape>
              </v:group>
            </w:pict>
          </mc:Fallback>
        </mc:AlternateContent>
      </w:r>
    </w:p>
    <w:p w14:paraId="0BD7C0A1" w14:textId="683ABBB9" w:rsidR="00787150" w:rsidRPr="00787150" w:rsidRDefault="00787150" w:rsidP="00787150">
      <w:pPr>
        <w:spacing w:after="0" w:line="240" w:lineRule="auto"/>
        <w:ind w:left="720"/>
        <w:rPr>
          <w:rFonts w:eastAsia="Times New Roman" w:cstheme="minorHAnsi"/>
        </w:rPr>
      </w:pPr>
    </w:p>
    <w:p w14:paraId="6F05990E" w14:textId="4B329EC2" w:rsidR="00787150" w:rsidRDefault="00787150" w:rsidP="00787150">
      <w:pPr>
        <w:pStyle w:val="ListParagraph"/>
        <w:rPr>
          <w:rFonts w:eastAsia="Times New Roman" w:cstheme="minorHAnsi"/>
          <w:b/>
          <w:bCs/>
        </w:rPr>
      </w:pPr>
    </w:p>
    <w:p w14:paraId="3DD33E82" w14:textId="2352BE1A" w:rsidR="00787150" w:rsidRDefault="00787150" w:rsidP="00787150">
      <w:pPr>
        <w:pStyle w:val="ListParagraph"/>
        <w:rPr>
          <w:rFonts w:eastAsia="Times New Roman" w:cstheme="minorHAnsi"/>
          <w:b/>
          <w:bCs/>
        </w:rPr>
      </w:pPr>
    </w:p>
    <w:p w14:paraId="10796795" w14:textId="1C8768B7" w:rsidR="00787150" w:rsidRDefault="00787150" w:rsidP="00787150">
      <w:pPr>
        <w:pStyle w:val="ListParagraph"/>
        <w:rPr>
          <w:rFonts w:eastAsia="Times New Roman" w:cstheme="minorHAnsi"/>
          <w:b/>
          <w:bCs/>
        </w:rPr>
      </w:pPr>
    </w:p>
    <w:p w14:paraId="11C9070E" w14:textId="68D94B03" w:rsidR="00787150" w:rsidRDefault="00787150" w:rsidP="00787150">
      <w:pPr>
        <w:pStyle w:val="ListParagraph"/>
        <w:rPr>
          <w:rFonts w:eastAsia="Times New Roman" w:cstheme="minorHAnsi"/>
          <w:b/>
          <w:bCs/>
        </w:rPr>
      </w:pPr>
    </w:p>
    <w:p w14:paraId="3CC335DD" w14:textId="083668D9" w:rsidR="00787150" w:rsidRDefault="00787150" w:rsidP="00787150">
      <w:pPr>
        <w:pStyle w:val="ListParagraph"/>
        <w:rPr>
          <w:rFonts w:eastAsia="Times New Roman" w:cstheme="minorHAnsi"/>
          <w:b/>
          <w:bCs/>
        </w:rPr>
      </w:pPr>
    </w:p>
    <w:p w14:paraId="2A8A62DA" w14:textId="4AC4A9DA" w:rsidR="00787150" w:rsidRDefault="00787150" w:rsidP="00787150">
      <w:pPr>
        <w:pStyle w:val="ListParagraph"/>
        <w:rPr>
          <w:rFonts w:eastAsia="Times New Roman" w:cstheme="minorHAnsi"/>
          <w:b/>
          <w:bCs/>
        </w:rPr>
      </w:pPr>
    </w:p>
    <w:p w14:paraId="69D53F45" w14:textId="34E92298" w:rsidR="00787150" w:rsidRDefault="00787150" w:rsidP="00787150">
      <w:pPr>
        <w:pStyle w:val="ListParagraph"/>
        <w:rPr>
          <w:rFonts w:eastAsia="Times New Roman" w:cstheme="minorHAnsi"/>
          <w:b/>
          <w:bCs/>
        </w:rPr>
      </w:pPr>
    </w:p>
    <w:p w14:paraId="6EE0E39A" w14:textId="11590C91" w:rsidR="00787150" w:rsidRDefault="00787150" w:rsidP="00787150">
      <w:pPr>
        <w:pStyle w:val="ListParagraph"/>
        <w:rPr>
          <w:rFonts w:eastAsia="Times New Roman" w:cstheme="minorHAnsi"/>
          <w:b/>
          <w:bCs/>
        </w:rPr>
      </w:pPr>
    </w:p>
    <w:p w14:paraId="44ED46F3" w14:textId="7F5512CA" w:rsidR="00787150" w:rsidRDefault="00787150" w:rsidP="00787150">
      <w:pPr>
        <w:pStyle w:val="ListParagraph"/>
        <w:rPr>
          <w:rFonts w:eastAsia="Times New Roman" w:cstheme="minorHAnsi"/>
          <w:b/>
          <w:bCs/>
        </w:rPr>
      </w:pPr>
    </w:p>
    <w:p w14:paraId="50036657" w14:textId="7321986E" w:rsidR="00787150" w:rsidRDefault="00787150" w:rsidP="00787150">
      <w:pPr>
        <w:pStyle w:val="ListParagraph"/>
        <w:rPr>
          <w:rFonts w:eastAsia="Times New Roman" w:cstheme="minorHAnsi"/>
          <w:b/>
          <w:bCs/>
        </w:rPr>
      </w:pPr>
    </w:p>
    <w:p w14:paraId="38D4A3BC" w14:textId="15C319F6" w:rsidR="00787150" w:rsidRDefault="00787150" w:rsidP="00787150">
      <w:pPr>
        <w:pStyle w:val="ListParagraph"/>
        <w:rPr>
          <w:rFonts w:eastAsia="Times New Roman" w:cstheme="minorHAnsi"/>
          <w:b/>
          <w:bCs/>
        </w:rPr>
      </w:pPr>
    </w:p>
    <w:p w14:paraId="48141A4B" w14:textId="7B9DDD9A" w:rsidR="00787150" w:rsidRDefault="00787150" w:rsidP="00787150">
      <w:pPr>
        <w:pStyle w:val="ListParagraph"/>
        <w:rPr>
          <w:rFonts w:eastAsia="Times New Roman" w:cstheme="minorHAnsi"/>
          <w:b/>
          <w:bCs/>
        </w:rPr>
      </w:pPr>
    </w:p>
    <w:p w14:paraId="59B693DD" w14:textId="5D6274A0" w:rsidR="00787150" w:rsidRDefault="00787150" w:rsidP="00787150">
      <w:pPr>
        <w:pStyle w:val="ListParagraph"/>
        <w:rPr>
          <w:rFonts w:eastAsia="Times New Roman" w:cstheme="minorHAnsi"/>
          <w:b/>
          <w:bCs/>
        </w:rPr>
      </w:pPr>
    </w:p>
    <w:p w14:paraId="370A6E10" w14:textId="5F57D64A" w:rsidR="00787150" w:rsidRDefault="00787150" w:rsidP="00787150">
      <w:pPr>
        <w:pStyle w:val="ListParagraph"/>
        <w:rPr>
          <w:rFonts w:eastAsia="Times New Roman" w:cstheme="minorHAnsi"/>
          <w:b/>
          <w:bCs/>
        </w:rPr>
      </w:pPr>
    </w:p>
    <w:p w14:paraId="22703586" w14:textId="77777777" w:rsidR="00787150" w:rsidRPr="00787150" w:rsidRDefault="00787150" w:rsidP="00787150">
      <w:pPr>
        <w:spacing w:after="0" w:line="240" w:lineRule="auto"/>
        <w:rPr>
          <w:rFonts w:eastAsia="Times New Roman" w:cstheme="minorHAnsi"/>
        </w:rPr>
      </w:pPr>
    </w:p>
    <w:p w14:paraId="16C2379E" w14:textId="2A4899B2" w:rsidR="002A054A" w:rsidRDefault="004610D9" w:rsidP="002A054A">
      <w:pPr>
        <w:numPr>
          <w:ilvl w:val="0"/>
          <w:numId w:val="12"/>
        </w:numPr>
        <w:spacing w:after="0" w:line="240" w:lineRule="auto"/>
        <w:rPr>
          <w:rFonts w:eastAsia="Times New Roman" w:cstheme="minorHAnsi"/>
        </w:rPr>
      </w:pPr>
      <w:r w:rsidRPr="002A054A">
        <w:rPr>
          <w:rFonts w:eastAsia="Times New Roman" w:cstheme="minorHAnsi"/>
          <w:b/>
          <w:bCs/>
        </w:rPr>
        <w:t>Market Risk</w:t>
      </w:r>
      <w:r w:rsidR="00AB10A5">
        <w:rPr>
          <w:rFonts w:eastAsia="Times New Roman" w:cstheme="minorHAnsi"/>
        </w:rPr>
        <w:t xml:space="preserve">. </w:t>
      </w:r>
      <w:r w:rsidRPr="002A054A">
        <w:rPr>
          <w:rFonts w:eastAsia="Times New Roman" w:cstheme="minorHAnsi"/>
        </w:rPr>
        <w:t>To maximize returns, participants are investing in a portfolio of investments that include equities</w:t>
      </w:r>
      <w:r w:rsidR="00E81BC6" w:rsidRPr="002A054A">
        <w:rPr>
          <w:rFonts w:eastAsia="Times New Roman" w:cstheme="minorHAnsi"/>
        </w:rPr>
        <w:t xml:space="preserve">. </w:t>
      </w:r>
      <w:r w:rsidRPr="002A054A">
        <w:rPr>
          <w:rFonts w:eastAsia="Times New Roman" w:cstheme="minorHAnsi"/>
        </w:rPr>
        <w:t>Based on market performance</w:t>
      </w:r>
      <w:r w:rsidR="00094844">
        <w:rPr>
          <w:rFonts w:eastAsia="Times New Roman" w:cstheme="minorHAnsi"/>
        </w:rPr>
        <w:t>,</w:t>
      </w:r>
      <w:r w:rsidRPr="002A054A">
        <w:rPr>
          <w:rFonts w:eastAsia="Times New Roman" w:cstheme="minorHAnsi"/>
        </w:rPr>
        <w:t xml:space="preserve"> their annual distributions will vary based on their account balance</w:t>
      </w:r>
      <w:r w:rsidR="00CD4FBC" w:rsidRPr="002A054A">
        <w:rPr>
          <w:rFonts w:eastAsia="Times New Roman" w:cstheme="minorHAnsi"/>
        </w:rPr>
        <w:t xml:space="preserve"> and can </w:t>
      </w:r>
      <w:r w:rsidR="00802CA4" w:rsidRPr="002A054A">
        <w:rPr>
          <w:rFonts w:eastAsia="Times New Roman" w:cstheme="minorHAnsi"/>
        </w:rPr>
        <w:t xml:space="preserve">fluctuate in </w:t>
      </w:r>
      <w:r w:rsidR="004228F4" w:rsidRPr="002A054A">
        <w:rPr>
          <w:rFonts w:eastAsia="Times New Roman" w:cstheme="minorHAnsi"/>
        </w:rPr>
        <w:t>retirement.</w:t>
      </w:r>
    </w:p>
    <w:p w14:paraId="78B8B4D8" w14:textId="77777777" w:rsidR="002A054A" w:rsidRDefault="002A054A" w:rsidP="002A054A">
      <w:pPr>
        <w:pStyle w:val="ListParagraph"/>
        <w:spacing w:after="0" w:line="240" w:lineRule="auto"/>
        <w:rPr>
          <w:rFonts w:eastAsia="Times New Roman" w:cstheme="minorHAnsi"/>
        </w:rPr>
      </w:pPr>
    </w:p>
    <w:p w14:paraId="6FD3522F" w14:textId="1AFA3257" w:rsidR="002A054A" w:rsidRDefault="004610D9" w:rsidP="002A054A">
      <w:pPr>
        <w:numPr>
          <w:ilvl w:val="0"/>
          <w:numId w:val="12"/>
        </w:numPr>
        <w:spacing w:after="0" w:line="240" w:lineRule="auto"/>
        <w:rPr>
          <w:rFonts w:eastAsia="Times New Roman" w:cstheme="minorHAnsi"/>
        </w:rPr>
      </w:pPr>
      <w:r w:rsidRPr="002A054A">
        <w:rPr>
          <w:rFonts w:eastAsia="Times New Roman" w:cstheme="minorHAnsi"/>
          <w:b/>
          <w:bCs/>
        </w:rPr>
        <w:t>Liquidity Risk</w:t>
      </w:r>
      <w:r w:rsidR="00AB10A5">
        <w:rPr>
          <w:rFonts w:eastAsia="Times New Roman" w:cstheme="minorHAnsi"/>
        </w:rPr>
        <w:t xml:space="preserve">. </w:t>
      </w:r>
      <w:r w:rsidRPr="002A054A">
        <w:rPr>
          <w:rFonts w:eastAsia="Times New Roman" w:cstheme="minorHAnsi"/>
        </w:rPr>
        <w:t xml:space="preserve">Once an </w:t>
      </w:r>
      <w:proofErr w:type="gramStart"/>
      <w:r w:rsidRPr="002A054A">
        <w:rPr>
          <w:rFonts w:eastAsia="Times New Roman" w:cstheme="minorHAnsi"/>
        </w:rPr>
        <w:t>executive lock</w:t>
      </w:r>
      <w:r w:rsidR="006416AC">
        <w:rPr>
          <w:rFonts w:eastAsia="Times New Roman" w:cstheme="minorHAnsi"/>
        </w:rPr>
        <w:t>s</w:t>
      </w:r>
      <w:proofErr w:type="gramEnd"/>
      <w:r w:rsidRPr="002A054A">
        <w:rPr>
          <w:rFonts w:eastAsia="Times New Roman" w:cstheme="minorHAnsi"/>
        </w:rPr>
        <w:t xml:space="preserve"> in the payment </w:t>
      </w:r>
      <w:r w:rsidR="004228F4" w:rsidRPr="002A054A">
        <w:rPr>
          <w:rFonts w:eastAsia="Times New Roman" w:cstheme="minorHAnsi"/>
        </w:rPr>
        <w:t>stream and</w:t>
      </w:r>
      <w:r w:rsidRPr="002A054A">
        <w:rPr>
          <w:rFonts w:eastAsia="Times New Roman" w:cstheme="minorHAnsi"/>
        </w:rPr>
        <w:t xml:space="preserve"> starts to receive distributions</w:t>
      </w:r>
      <w:r w:rsidR="00094844">
        <w:rPr>
          <w:rFonts w:eastAsia="Times New Roman" w:cstheme="minorHAnsi"/>
        </w:rPr>
        <w:t>,</w:t>
      </w:r>
      <w:r w:rsidRPr="002A054A">
        <w:rPr>
          <w:rFonts w:eastAsia="Times New Roman" w:cstheme="minorHAnsi"/>
        </w:rPr>
        <w:t xml:space="preserve"> </w:t>
      </w:r>
      <w:r w:rsidR="0029566C" w:rsidRPr="002A054A">
        <w:rPr>
          <w:rFonts w:eastAsia="Times New Roman" w:cstheme="minorHAnsi"/>
        </w:rPr>
        <w:t xml:space="preserve">409A does not allow them to </w:t>
      </w:r>
      <w:r w:rsidRPr="002A054A">
        <w:rPr>
          <w:rFonts w:eastAsia="Times New Roman" w:cstheme="minorHAnsi"/>
        </w:rPr>
        <w:t xml:space="preserve">change their elections. If higher taxes or market returns cause lower </w:t>
      </w:r>
      <w:r w:rsidR="004228F4" w:rsidRPr="002A054A">
        <w:rPr>
          <w:rFonts w:eastAsia="Times New Roman" w:cstheme="minorHAnsi"/>
        </w:rPr>
        <w:t>distributions,</w:t>
      </w:r>
      <w:r w:rsidRPr="002A054A">
        <w:rPr>
          <w:rFonts w:eastAsia="Times New Roman" w:cstheme="minorHAnsi"/>
        </w:rPr>
        <w:t xml:space="preserve"> he/she </w:t>
      </w:r>
      <w:r w:rsidR="00810272" w:rsidRPr="002A054A">
        <w:rPr>
          <w:rFonts w:eastAsia="Times New Roman" w:cstheme="minorHAnsi"/>
        </w:rPr>
        <w:t>cannot</w:t>
      </w:r>
      <w:r w:rsidRPr="002A054A">
        <w:rPr>
          <w:rFonts w:eastAsia="Times New Roman" w:cstheme="minorHAnsi"/>
        </w:rPr>
        <w:t xml:space="preserve"> access additional funds</w:t>
      </w:r>
      <w:r w:rsidR="0029566C" w:rsidRPr="002A054A">
        <w:rPr>
          <w:rFonts w:eastAsia="Times New Roman" w:cstheme="minorHAnsi"/>
        </w:rPr>
        <w:t xml:space="preserve"> unless they can prove a hardship – which is </w:t>
      </w:r>
      <w:r w:rsidR="00094844">
        <w:rPr>
          <w:rFonts w:eastAsia="Times New Roman" w:cstheme="minorHAnsi"/>
        </w:rPr>
        <w:t>challenging</w:t>
      </w:r>
      <w:r w:rsidR="0029566C" w:rsidRPr="002A054A">
        <w:rPr>
          <w:rFonts w:eastAsia="Times New Roman" w:cstheme="minorHAnsi"/>
        </w:rPr>
        <w:t xml:space="preserve"> to do in NQDC plans</w:t>
      </w:r>
      <w:r w:rsidRPr="002A054A">
        <w:rPr>
          <w:rFonts w:eastAsia="Times New Roman" w:cstheme="minorHAnsi"/>
        </w:rPr>
        <w:t>.</w:t>
      </w:r>
    </w:p>
    <w:p w14:paraId="57C168DB" w14:textId="6001053B" w:rsidR="002A054A" w:rsidRDefault="002A054A" w:rsidP="002A054A">
      <w:pPr>
        <w:pStyle w:val="ListParagraph"/>
        <w:spacing w:after="0"/>
        <w:rPr>
          <w:rFonts w:eastAsia="Times New Roman" w:cstheme="minorHAnsi"/>
        </w:rPr>
      </w:pPr>
    </w:p>
    <w:p w14:paraId="26EF06FB" w14:textId="5BC8708E" w:rsidR="004610D9" w:rsidRPr="002A054A" w:rsidRDefault="004610D9" w:rsidP="002A054A">
      <w:pPr>
        <w:numPr>
          <w:ilvl w:val="0"/>
          <w:numId w:val="12"/>
        </w:numPr>
        <w:spacing w:after="0" w:line="240" w:lineRule="auto"/>
        <w:rPr>
          <w:rFonts w:eastAsia="Times New Roman" w:cstheme="minorHAnsi"/>
        </w:rPr>
      </w:pPr>
      <w:r w:rsidRPr="002A054A">
        <w:rPr>
          <w:rFonts w:eastAsia="Times New Roman" w:cstheme="minorHAnsi"/>
          <w:b/>
          <w:bCs/>
        </w:rPr>
        <w:t>Estate Tax Risk</w:t>
      </w:r>
      <w:r w:rsidR="00AB10A5">
        <w:rPr>
          <w:rFonts w:eastAsia="Times New Roman" w:cstheme="minorHAnsi"/>
        </w:rPr>
        <w:t xml:space="preserve">. </w:t>
      </w:r>
      <w:r w:rsidRPr="002A054A">
        <w:rPr>
          <w:rFonts w:eastAsia="Times New Roman" w:cstheme="minorHAnsi"/>
        </w:rPr>
        <w:t>NQDC plan assets are, in most cases, includable in the executive</w:t>
      </w:r>
      <w:r w:rsidR="00510802" w:rsidRPr="002A054A">
        <w:rPr>
          <w:rFonts w:eastAsia="Times New Roman" w:cstheme="minorHAnsi"/>
        </w:rPr>
        <w:t>’</w:t>
      </w:r>
      <w:r w:rsidRPr="002A054A">
        <w:rPr>
          <w:rFonts w:eastAsia="Times New Roman" w:cstheme="minorHAnsi"/>
        </w:rPr>
        <w:t xml:space="preserve">s personal estate. </w:t>
      </w:r>
    </w:p>
    <w:p w14:paraId="1D72D825" w14:textId="77777777" w:rsidR="002A054A" w:rsidRDefault="002A054A" w:rsidP="00E81BC6">
      <w:pPr>
        <w:spacing w:after="100" w:afterAutospacing="1" w:line="240" w:lineRule="auto"/>
        <w:rPr>
          <w:rFonts w:eastAsia="Times New Roman" w:cstheme="minorHAnsi"/>
        </w:rPr>
      </w:pPr>
    </w:p>
    <w:p w14:paraId="5D303A39" w14:textId="77777777" w:rsidR="00787150" w:rsidRDefault="00E81BC6" w:rsidP="00E81BC6">
      <w:pPr>
        <w:spacing w:after="100" w:afterAutospacing="1" w:line="240" w:lineRule="auto"/>
        <w:rPr>
          <w:rFonts w:eastAsia="Times New Roman" w:cstheme="minorHAnsi"/>
        </w:rPr>
      </w:pPr>
      <w:r w:rsidRPr="002A054A">
        <w:rPr>
          <w:rFonts w:eastAsia="Times New Roman" w:cstheme="minorHAnsi"/>
        </w:rPr>
        <w:t xml:space="preserve">Many </w:t>
      </w:r>
      <w:r w:rsidR="004610D9" w:rsidRPr="002A054A">
        <w:rPr>
          <w:rFonts w:eastAsia="Times New Roman" w:cstheme="minorHAnsi"/>
        </w:rPr>
        <w:t>executives</w:t>
      </w:r>
      <w:r w:rsidRPr="002A054A">
        <w:rPr>
          <w:rFonts w:eastAsia="Times New Roman" w:cstheme="minorHAnsi"/>
        </w:rPr>
        <w:t xml:space="preserve"> are implementing program</w:t>
      </w:r>
      <w:r w:rsidR="00E57C7E" w:rsidRPr="002A054A">
        <w:rPr>
          <w:rFonts w:eastAsia="Times New Roman" w:cstheme="minorHAnsi"/>
        </w:rPr>
        <w:t>s</w:t>
      </w:r>
      <w:r w:rsidRPr="002A054A">
        <w:rPr>
          <w:rFonts w:eastAsia="Times New Roman" w:cstheme="minorHAnsi"/>
        </w:rPr>
        <w:t xml:space="preserve"> to help </w:t>
      </w:r>
      <w:r w:rsidR="004610D9" w:rsidRPr="002A054A">
        <w:rPr>
          <w:rFonts w:eastAsia="Times New Roman" w:cstheme="minorHAnsi"/>
        </w:rPr>
        <w:t>mitigate these risks</w:t>
      </w:r>
      <w:r w:rsidRPr="002A054A">
        <w:rPr>
          <w:rFonts w:eastAsia="Times New Roman" w:cstheme="minorHAnsi"/>
        </w:rPr>
        <w:t xml:space="preserve">. </w:t>
      </w:r>
    </w:p>
    <w:p w14:paraId="2DB04507" w14:textId="77777777" w:rsidR="00787150" w:rsidRDefault="00787150" w:rsidP="00E81BC6">
      <w:pPr>
        <w:spacing w:after="100" w:afterAutospacing="1" w:line="240" w:lineRule="auto"/>
        <w:rPr>
          <w:rFonts w:eastAsia="Times New Roman" w:cstheme="minorHAnsi"/>
        </w:rPr>
      </w:pPr>
    </w:p>
    <w:p w14:paraId="01CCF3F9" w14:textId="50F6C46F" w:rsidR="00787150" w:rsidRPr="00472F7D" w:rsidRDefault="00787150" w:rsidP="00787150">
      <w:pPr>
        <w:spacing w:after="100" w:afterAutospacing="1" w:line="276" w:lineRule="auto"/>
        <w:rPr>
          <w:rFonts w:ascii="Arial Black" w:eastAsia="Times New Roman" w:hAnsi="Arial Black" w:cstheme="minorHAnsi"/>
        </w:rPr>
      </w:pPr>
      <w:r w:rsidRPr="00472F7D">
        <w:rPr>
          <w:rFonts w:ascii="Arial Black" w:eastAsia="Times New Roman" w:hAnsi="Arial Black" w:cstheme="minorHAnsi"/>
        </w:rPr>
        <w:t xml:space="preserve">The NQDC </w:t>
      </w:r>
      <w:r w:rsidR="002D0363">
        <w:rPr>
          <w:rFonts w:ascii="Arial Black" w:eastAsia="Times New Roman" w:hAnsi="Arial Black" w:cstheme="minorHAnsi"/>
        </w:rPr>
        <w:t>Exit Strategy</w:t>
      </w:r>
    </w:p>
    <w:p w14:paraId="6290BB68" w14:textId="7D1F6FA5" w:rsidR="00E81BC6" w:rsidRDefault="00787150" w:rsidP="00787150">
      <w:pPr>
        <w:spacing w:after="100" w:afterAutospacing="1" w:line="276" w:lineRule="auto"/>
        <w:rPr>
          <w:rFonts w:eastAsia="Times New Roman" w:cstheme="minorHAnsi"/>
        </w:rPr>
      </w:pPr>
      <w:r>
        <w:rPr>
          <w:rFonts w:eastAsia="Times New Roman" w:cstheme="minorHAnsi"/>
        </w:rPr>
        <w:t xml:space="preserve">The NQDC </w:t>
      </w:r>
      <w:r w:rsidR="002D0363">
        <w:rPr>
          <w:rFonts w:eastAsia="Times New Roman" w:cstheme="minorHAnsi"/>
        </w:rPr>
        <w:t>Exit Strategy</w:t>
      </w:r>
      <w:r>
        <w:rPr>
          <w:rFonts w:eastAsia="Times New Roman" w:cstheme="minorHAnsi"/>
        </w:rPr>
        <w:t xml:space="preserve"> is o</w:t>
      </w:r>
      <w:r w:rsidR="00E81BC6" w:rsidRPr="002A054A">
        <w:rPr>
          <w:rFonts w:eastAsia="Times New Roman" w:cstheme="minorHAnsi"/>
        </w:rPr>
        <w:t xml:space="preserve">ne </w:t>
      </w:r>
      <w:r>
        <w:rPr>
          <w:rFonts w:eastAsia="Times New Roman" w:cstheme="minorHAnsi"/>
        </w:rPr>
        <w:t>pathway</w:t>
      </w:r>
      <w:r w:rsidR="00E81BC6" w:rsidRPr="002A054A">
        <w:rPr>
          <w:rFonts w:eastAsia="Times New Roman" w:cstheme="minorHAnsi"/>
        </w:rPr>
        <w:t xml:space="preserve"> to maximize </w:t>
      </w:r>
      <w:r w:rsidR="00802CA4" w:rsidRPr="002A054A">
        <w:rPr>
          <w:rFonts w:eastAsia="Times New Roman" w:cstheme="minorHAnsi"/>
        </w:rPr>
        <w:t>retirement income and creat</w:t>
      </w:r>
      <w:r>
        <w:rPr>
          <w:rFonts w:eastAsia="Times New Roman" w:cstheme="minorHAnsi"/>
        </w:rPr>
        <w:t>e</w:t>
      </w:r>
      <w:r w:rsidR="00802CA4" w:rsidRPr="002A054A">
        <w:rPr>
          <w:rFonts w:eastAsia="Times New Roman" w:cstheme="minorHAnsi"/>
        </w:rPr>
        <w:t xml:space="preserve"> </w:t>
      </w:r>
      <w:r w:rsidR="00E81BC6" w:rsidRPr="002A054A">
        <w:rPr>
          <w:rFonts w:eastAsia="Times New Roman" w:cstheme="minorHAnsi"/>
        </w:rPr>
        <w:t>wealth for future generation</w:t>
      </w:r>
      <w:r w:rsidR="00094844">
        <w:rPr>
          <w:rFonts w:eastAsia="Times New Roman" w:cstheme="minorHAnsi"/>
        </w:rPr>
        <w:t>s because you gener</w:t>
      </w:r>
      <w:r w:rsidR="00E81BC6" w:rsidRPr="002A054A">
        <w:rPr>
          <w:rFonts w:eastAsia="Times New Roman" w:cstheme="minorHAnsi"/>
        </w:rPr>
        <w:t>ate liquidity</w:t>
      </w:r>
      <w:r w:rsidR="005D4173" w:rsidRPr="002A054A">
        <w:rPr>
          <w:rFonts w:eastAsia="Times New Roman" w:cstheme="minorHAnsi"/>
        </w:rPr>
        <w:t xml:space="preserve"> and </w:t>
      </w:r>
      <w:r w:rsidR="004228F4" w:rsidRPr="002A054A">
        <w:rPr>
          <w:rFonts w:eastAsia="Times New Roman" w:cstheme="minorHAnsi"/>
        </w:rPr>
        <w:t>tax-free</w:t>
      </w:r>
      <w:r w:rsidR="005D4173" w:rsidRPr="002A054A">
        <w:rPr>
          <w:rFonts w:eastAsia="Times New Roman" w:cstheme="minorHAnsi"/>
        </w:rPr>
        <w:t xml:space="preserve"> income</w:t>
      </w:r>
      <w:r>
        <w:rPr>
          <w:rFonts w:eastAsia="Times New Roman" w:cstheme="minorHAnsi"/>
        </w:rPr>
        <w:t>.</w:t>
      </w:r>
      <w:r w:rsidR="00E81BC6" w:rsidRPr="002A054A">
        <w:rPr>
          <w:rFonts w:eastAsia="Times New Roman" w:cstheme="minorHAnsi"/>
        </w:rPr>
        <w:t xml:space="preserve"> Also known as a preservation of wealth plan, a benefit exchange</w:t>
      </w:r>
      <w:r w:rsidR="00094844">
        <w:rPr>
          <w:rFonts w:eastAsia="Times New Roman" w:cstheme="minorHAnsi"/>
        </w:rPr>
        <w:t>,</w:t>
      </w:r>
      <w:r w:rsidR="00E81BC6" w:rsidRPr="002A054A">
        <w:rPr>
          <w:rFonts w:eastAsia="Times New Roman" w:cstheme="minorHAnsi"/>
        </w:rPr>
        <w:t xml:space="preserve"> or a</w:t>
      </w:r>
      <w:r w:rsidR="00802CA4" w:rsidRPr="002A054A">
        <w:rPr>
          <w:rFonts w:eastAsia="Times New Roman" w:cstheme="minorHAnsi"/>
        </w:rPr>
        <w:t xml:space="preserve"> </w:t>
      </w:r>
      <w:r w:rsidR="00E81BC6" w:rsidRPr="002A054A">
        <w:rPr>
          <w:rFonts w:eastAsia="Times New Roman" w:cstheme="minorHAnsi"/>
        </w:rPr>
        <w:t xml:space="preserve">benefit swap, the arrangement allows participants to exchange heavily taxed retirement benefits for </w:t>
      </w:r>
      <w:r w:rsidR="005D4173" w:rsidRPr="002A054A">
        <w:rPr>
          <w:rFonts w:eastAsia="Times New Roman" w:cstheme="minorHAnsi"/>
        </w:rPr>
        <w:t>a secured</w:t>
      </w:r>
      <w:r>
        <w:rPr>
          <w:rFonts w:eastAsia="Times New Roman" w:cstheme="minorHAnsi"/>
        </w:rPr>
        <w:t>,</w:t>
      </w:r>
      <w:r w:rsidR="005D4173" w:rsidRPr="002A054A">
        <w:rPr>
          <w:rFonts w:eastAsia="Times New Roman" w:cstheme="minorHAnsi"/>
        </w:rPr>
        <w:t xml:space="preserve"> tax</w:t>
      </w:r>
      <w:r>
        <w:rPr>
          <w:rFonts w:eastAsia="Times New Roman" w:cstheme="minorHAnsi"/>
        </w:rPr>
        <w:t>-</w:t>
      </w:r>
      <w:r w:rsidR="005D4173" w:rsidRPr="002A054A">
        <w:rPr>
          <w:rFonts w:eastAsia="Times New Roman" w:cstheme="minorHAnsi"/>
        </w:rPr>
        <w:t xml:space="preserve">deferred arrangement that provides </w:t>
      </w:r>
      <w:r>
        <w:rPr>
          <w:rFonts w:eastAsia="Times New Roman" w:cstheme="minorHAnsi"/>
        </w:rPr>
        <w:t>ample</w:t>
      </w:r>
      <w:r w:rsidR="005D4173" w:rsidRPr="002A054A">
        <w:rPr>
          <w:rFonts w:eastAsia="Times New Roman" w:cstheme="minorHAnsi"/>
        </w:rPr>
        <w:t xml:space="preserve"> flexibility to the executive</w:t>
      </w:r>
      <w:r w:rsidR="00E81BC6" w:rsidRPr="002A054A">
        <w:rPr>
          <w:rFonts w:eastAsia="Times New Roman" w:cstheme="minorHAnsi"/>
        </w:rPr>
        <w:t xml:space="preserve">. The favorable tax treatment of </w:t>
      </w:r>
      <w:r w:rsidR="00677E27" w:rsidRPr="002A054A">
        <w:rPr>
          <w:rFonts w:eastAsia="Times New Roman" w:cstheme="minorHAnsi"/>
        </w:rPr>
        <w:t xml:space="preserve">the NQDC </w:t>
      </w:r>
      <w:r w:rsidR="002D0363">
        <w:rPr>
          <w:rFonts w:eastAsia="Times New Roman" w:cstheme="minorHAnsi"/>
        </w:rPr>
        <w:t>Exit Strategy</w:t>
      </w:r>
      <w:r>
        <w:rPr>
          <w:rFonts w:eastAsia="Times New Roman" w:cstheme="minorHAnsi"/>
        </w:rPr>
        <w:t xml:space="preserve"> uses</w:t>
      </w:r>
      <w:r w:rsidR="00677E27" w:rsidRPr="002A054A">
        <w:rPr>
          <w:rFonts w:eastAsia="Times New Roman" w:cstheme="minorHAnsi"/>
        </w:rPr>
        <w:t xml:space="preserve"> </w:t>
      </w:r>
      <w:r w:rsidR="00E81BC6" w:rsidRPr="002A054A">
        <w:rPr>
          <w:rFonts w:eastAsia="Times New Roman" w:cstheme="minorHAnsi"/>
        </w:rPr>
        <w:t>life insurance</w:t>
      </w:r>
      <w:r>
        <w:rPr>
          <w:rFonts w:eastAsia="Times New Roman" w:cstheme="minorHAnsi"/>
        </w:rPr>
        <w:t xml:space="preserve"> to</w:t>
      </w:r>
      <w:r w:rsidR="00E81BC6" w:rsidRPr="002A054A">
        <w:rPr>
          <w:rFonts w:eastAsia="Times New Roman" w:cstheme="minorHAnsi"/>
        </w:rPr>
        <w:t xml:space="preserve"> help produce </w:t>
      </w:r>
      <w:r w:rsidR="006416AC">
        <w:rPr>
          <w:rFonts w:eastAsia="Times New Roman" w:cstheme="minorHAnsi"/>
        </w:rPr>
        <w:t>potentially</w:t>
      </w:r>
      <w:r w:rsidR="00E81BC6" w:rsidRPr="002A054A">
        <w:rPr>
          <w:rFonts w:eastAsia="Times New Roman" w:cstheme="minorHAnsi"/>
        </w:rPr>
        <w:t xml:space="preserve"> more</w:t>
      </w:r>
      <w:r w:rsidR="00802CA4" w:rsidRPr="002A054A">
        <w:rPr>
          <w:rFonts w:eastAsia="Times New Roman" w:cstheme="minorHAnsi"/>
        </w:rPr>
        <w:t xml:space="preserve"> </w:t>
      </w:r>
      <w:r w:rsidR="00E81BC6" w:rsidRPr="002A054A">
        <w:rPr>
          <w:rFonts w:eastAsia="Times New Roman" w:cstheme="minorHAnsi"/>
        </w:rPr>
        <w:t xml:space="preserve">wealth </w:t>
      </w:r>
      <w:r w:rsidR="00677E27" w:rsidRPr="002A054A">
        <w:rPr>
          <w:rFonts w:eastAsia="Times New Roman" w:cstheme="minorHAnsi"/>
        </w:rPr>
        <w:t>accumulation and tax-free income</w:t>
      </w:r>
      <w:r w:rsidR="00802CA4" w:rsidRPr="002A054A">
        <w:rPr>
          <w:rFonts w:eastAsia="Times New Roman" w:cstheme="minorHAnsi"/>
        </w:rPr>
        <w:t xml:space="preserve"> at retirement</w:t>
      </w:r>
      <w:r w:rsidR="00E81BC6" w:rsidRPr="002A054A">
        <w:rPr>
          <w:rFonts w:eastAsia="Times New Roman" w:cstheme="minorHAnsi"/>
        </w:rPr>
        <w:t xml:space="preserve">. </w:t>
      </w:r>
    </w:p>
    <w:p w14:paraId="14D65422" w14:textId="77777777" w:rsidR="00787150" w:rsidRPr="002A054A" w:rsidRDefault="00787150" w:rsidP="00E81BC6">
      <w:pPr>
        <w:spacing w:after="100" w:afterAutospacing="1" w:line="240" w:lineRule="auto"/>
        <w:rPr>
          <w:rFonts w:eastAsia="Times New Roman" w:cstheme="minorHAnsi"/>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E81BC6" w:rsidRPr="00360945" w14:paraId="2EF703E8" w14:textId="77777777" w:rsidTr="00E81BC6">
        <w:tc>
          <w:tcPr>
            <w:tcW w:w="0" w:type="auto"/>
            <w:shd w:val="clear" w:color="auto" w:fill="auto"/>
            <w:tcMar>
              <w:top w:w="0" w:type="dxa"/>
              <w:left w:w="0" w:type="dxa"/>
              <w:bottom w:w="0" w:type="dxa"/>
              <w:right w:w="0" w:type="dxa"/>
            </w:tcMar>
            <w:vAlign w:val="center"/>
            <w:hideMark/>
          </w:tcPr>
          <w:p w14:paraId="07875D38" w14:textId="77777777" w:rsidR="00810272" w:rsidRDefault="00810272" w:rsidP="00E81BC6">
            <w:pPr>
              <w:spacing w:after="0" w:line="240" w:lineRule="auto"/>
              <w:rPr>
                <w:rFonts w:ascii="Arial Black" w:eastAsia="Times New Roman" w:hAnsi="Arial Black" w:cstheme="minorHAnsi"/>
                <w:b/>
                <w:bCs/>
              </w:rPr>
            </w:pPr>
          </w:p>
          <w:p w14:paraId="4CEEE3F4" w14:textId="77777777" w:rsidR="00810272" w:rsidRDefault="00810272" w:rsidP="00E81BC6">
            <w:pPr>
              <w:spacing w:after="0" w:line="240" w:lineRule="auto"/>
              <w:rPr>
                <w:rFonts w:ascii="Arial Black" w:eastAsia="Times New Roman" w:hAnsi="Arial Black" w:cstheme="minorHAnsi"/>
                <w:b/>
                <w:bCs/>
              </w:rPr>
            </w:pPr>
          </w:p>
          <w:p w14:paraId="657282CF" w14:textId="6F0FD1C2" w:rsidR="00E81BC6" w:rsidRPr="00472F7D" w:rsidRDefault="00E81BC6" w:rsidP="00E81BC6">
            <w:pPr>
              <w:spacing w:after="0" w:line="240" w:lineRule="auto"/>
              <w:rPr>
                <w:rFonts w:ascii="Arial Black" w:eastAsia="Times New Roman" w:hAnsi="Arial Black" w:cstheme="minorHAnsi"/>
                <w:b/>
                <w:bCs/>
              </w:rPr>
            </w:pPr>
            <w:r w:rsidRPr="00472F7D">
              <w:rPr>
                <w:rFonts w:ascii="Arial Black" w:eastAsia="Times New Roman" w:hAnsi="Arial Black" w:cstheme="minorHAnsi"/>
                <w:b/>
                <w:bCs/>
              </w:rPr>
              <w:t xml:space="preserve">Multiple Taxation Cuts </w:t>
            </w:r>
            <w:r w:rsidR="004228F4" w:rsidRPr="00472F7D">
              <w:rPr>
                <w:rFonts w:ascii="Arial Black" w:eastAsia="Times New Roman" w:hAnsi="Arial Black" w:cstheme="minorHAnsi"/>
                <w:b/>
                <w:bCs/>
              </w:rPr>
              <w:t>into</w:t>
            </w:r>
            <w:r w:rsidRPr="00472F7D">
              <w:rPr>
                <w:rFonts w:ascii="Arial Black" w:eastAsia="Times New Roman" w:hAnsi="Arial Black" w:cstheme="minorHAnsi"/>
                <w:b/>
                <w:bCs/>
              </w:rPr>
              <w:t xml:space="preserve"> Retirement Benefits </w:t>
            </w:r>
          </w:p>
          <w:p w14:paraId="3AF18AB8" w14:textId="5F638F21" w:rsidR="00677E27" w:rsidRPr="00360945" w:rsidRDefault="00677E27" w:rsidP="00E81BC6">
            <w:pPr>
              <w:spacing w:after="0" w:line="240" w:lineRule="auto"/>
              <w:rPr>
                <w:rFonts w:eastAsia="Times New Roman" w:cstheme="minorHAnsi"/>
                <w:sz w:val="28"/>
                <w:szCs w:val="28"/>
              </w:rPr>
            </w:pPr>
          </w:p>
          <w:p w14:paraId="0976E079" w14:textId="3EEFD7B7" w:rsidR="00677E27" w:rsidRPr="000F510B" w:rsidRDefault="00677E27" w:rsidP="00E81BC6">
            <w:pPr>
              <w:spacing w:after="0" w:line="240" w:lineRule="auto"/>
              <w:rPr>
                <w:rFonts w:eastAsia="Times New Roman" w:cstheme="minorHAnsi"/>
              </w:rPr>
            </w:pPr>
            <w:r w:rsidRPr="000F510B">
              <w:rPr>
                <w:rFonts w:eastAsia="Times New Roman" w:cstheme="minorHAnsi"/>
              </w:rPr>
              <w:t xml:space="preserve">When a participant </w:t>
            </w:r>
            <w:r w:rsidR="00857F33" w:rsidRPr="000F510B">
              <w:rPr>
                <w:rFonts w:eastAsia="Times New Roman" w:cstheme="minorHAnsi"/>
              </w:rPr>
              <w:t>take</w:t>
            </w:r>
            <w:r w:rsidR="000F510B">
              <w:rPr>
                <w:rFonts w:eastAsia="Times New Roman" w:cstheme="minorHAnsi"/>
              </w:rPr>
              <w:t>s</w:t>
            </w:r>
            <w:r w:rsidR="00857F33" w:rsidRPr="000F510B">
              <w:rPr>
                <w:rFonts w:eastAsia="Times New Roman" w:cstheme="minorHAnsi"/>
              </w:rPr>
              <w:t xml:space="preserve"> </w:t>
            </w:r>
            <w:r w:rsidR="00094844">
              <w:rPr>
                <w:rFonts w:eastAsia="Times New Roman" w:cstheme="minorHAnsi"/>
              </w:rPr>
              <w:t xml:space="preserve">a </w:t>
            </w:r>
            <w:r w:rsidR="00857F33" w:rsidRPr="000F510B">
              <w:rPr>
                <w:rFonts w:eastAsia="Times New Roman" w:cstheme="minorHAnsi"/>
              </w:rPr>
              <w:t>distribution from a NQDC plan, the</w:t>
            </w:r>
            <w:r w:rsidR="0038206F" w:rsidRPr="000F510B">
              <w:rPr>
                <w:rFonts w:eastAsia="Times New Roman" w:cstheme="minorHAnsi"/>
              </w:rPr>
              <w:t>y</w:t>
            </w:r>
            <w:r w:rsidR="00857F33" w:rsidRPr="000F510B">
              <w:rPr>
                <w:rFonts w:eastAsia="Times New Roman" w:cstheme="minorHAnsi"/>
              </w:rPr>
              <w:t xml:space="preserve"> are hit </w:t>
            </w:r>
            <w:r w:rsidR="0029566C" w:rsidRPr="000F510B">
              <w:rPr>
                <w:rFonts w:eastAsia="Times New Roman" w:cstheme="minorHAnsi"/>
              </w:rPr>
              <w:t xml:space="preserve">by </w:t>
            </w:r>
            <w:r w:rsidR="000F510B" w:rsidRPr="000F510B">
              <w:rPr>
                <w:rFonts w:eastAsia="Times New Roman" w:cstheme="minorHAnsi"/>
              </w:rPr>
              <w:t>several</w:t>
            </w:r>
            <w:r w:rsidR="00857F33" w:rsidRPr="000F510B">
              <w:rPr>
                <w:rFonts w:eastAsia="Times New Roman" w:cstheme="minorHAnsi"/>
              </w:rPr>
              <w:t xml:space="preserve"> taxes. </w:t>
            </w:r>
          </w:p>
          <w:p w14:paraId="6933DF24" w14:textId="12334F1D" w:rsidR="00E81BC6" w:rsidRPr="000F510B" w:rsidRDefault="00E81BC6" w:rsidP="00E81BC6">
            <w:pPr>
              <w:spacing w:after="100" w:afterAutospacing="1" w:line="240" w:lineRule="auto"/>
              <w:rPr>
                <w:rFonts w:eastAsia="Times New Roman" w:cstheme="minorHAnsi"/>
              </w:rPr>
            </w:pPr>
            <w:r w:rsidRPr="000F510B">
              <w:rPr>
                <w:rFonts w:eastAsia="Times New Roman" w:cstheme="minorHAnsi"/>
              </w:rPr>
              <w:t>Taxes can consume 83</w:t>
            </w:r>
            <w:r w:rsidR="000F510B">
              <w:rPr>
                <w:rFonts w:eastAsia="Times New Roman" w:cstheme="minorHAnsi"/>
              </w:rPr>
              <w:t xml:space="preserve"> percent</w:t>
            </w:r>
            <w:r w:rsidRPr="000F510B">
              <w:rPr>
                <w:rFonts w:eastAsia="Times New Roman" w:cstheme="minorHAnsi"/>
              </w:rPr>
              <w:t xml:space="preserve"> of assets and future growth</w:t>
            </w:r>
            <w:r w:rsidR="0038206F" w:rsidRPr="000F510B">
              <w:rPr>
                <w:rFonts w:eastAsia="Times New Roman" w:cstheme="minorHAnsi"/>
              </w:rPr>
              <w:t>, and in some states</w:t>
            </w:r>
            <w:r w:rsidR="00094844">
              <w:rPr>
                <w:rFonts w:eastAsia="Times New Roman" w:cstheme="minorHAnsi"/>
              </w:rPr>
              <w:t>,</w:t>
            </w:r>
            <w:r w:rsidR="0038206F" w:rsidRPr="000F510B">
              <w:rPr>
                <w:rFonts w:eastAsia="Times New Roman" w:cstheme="minorHAnsi"/>
              </w:rPr>
              <w:t xml:space="preserve"> much more</w:t>
            </w:r>
            <w:r w:rsidR="00857F33" w:rsidRPr="000F510B">
              <w:rPr>
                <w:rFonts w:eastAsia="Times New Roman" w:cstheme="minorHAnsi"/>
              </w:rPr>
              <w:t>.</w:t>
            </w:r>
            <w:r w:rsidRPr="000F510B">
              <w:rPr>
                <w:rFonts w:eastAsia="Times New Roman" w:cstheme="minorHAnsi"/>
              </w:rPr>
              <w:t xml:space="preserve"> </w:t>
            </w:r>
          </w:p>
          <w:p w14:paraId="2BA6CDDD" w14:textId="77777777" w:rsidR="00857F33" w:rsidRPr="000F510B" w:rsidRDefault="00857F33" w:rsidP="000F510B">
            <w:pPr>
              <w:pStyle w:val="ListParagraph"/>
              <w:numPr>
                <w:ilvl w:val="0"/>
                <w:numId w:val="13"/>
              </w:numPr>
              <w:spacing w:after="100" w:afterAutospacing="1" w:line="240" w:lineRule="auto"/>
              <w:rPr>
                <w:rFonts w:eastAsia="Times New Roman" w:cstheme="minorHAnsi"/>
              </w:rPr>
            </w:pPr>
            <w:r w:rsidRPr="000F510B">
              <w:rPr>
                <w:rFonts w:eastAsia="Times New Roman" w:cstheme="minorHAnsi"/>
              </w:rPr>
              <w:t>Federal and state income taxes</w:t>
            </w:r>
          </w:p>
          <w:p w14:paraId="2DAB0AB7" w14:textId="77777777" w:rsidR="000F510B" w:rsidRDefault="00857F33" w:rsidP="000F510B">
            <w:pPr>
              <w:pStyle w:val="ListParagraph"/>
              <w:numPr>
                <w:ilvl w:val="0"/>
                <w:numId w:val="13"/>
              </w:numPr>
              <w:spacing w:after="100" w:afterAutospacing="1" w:line="240" w:lineRule="auto"/>
              <w:rPr>
                <w:rFonts w:eastAsia="Times New Roman" w:cstheme="minorHAnsi"/>
              </w:rPr>
            </w:pPr>
            <w:r w:rsidRPr="000F510B">
              <w:rPr>
                <w:rFonts w:eastAsia="Times New Roman" w:cstheme="minorHAnsi"/>
              </w:rPr>
              <w:t>Capital gains taxes on money distributed and re-invested</w:t>
            </w:r>
          </w:p>
          <w:p w14:paraId="75112CF7" w14:textId="4264BCC8" w:rsidR="00857F33" w:rsidRPr="000F510B" w:rsidRDefault="00857F33" w:rsidP="000F510B">
            <w:pPr>
              <w:pStyle w:val="ListParagraph"/>
              <w:numPr>
                <w:ilvl w:val="0"/>
                <w:numId w:val="13"/>
              </w:numPr>
              <w:spacing w:after="100" w:afterAutospacing="1" w:line="240" w:lineRule="auto"/>
              <w:rPr>
                <w:rFonts w:eastAsia="Times New Roman" w:cstheme="minorHAnsi"/>
              </w:rPr>
            </w:pPr>
            <w:r w:rsidRPr="000F510B">
              <w:rPr>
                <w:rFonts w:eastAsia="Times New Roman" w:cstheme="minorHAnsi"/>
              </w:rPr>
              <w:t>Estate taxes on balances and distribution if held</w:t>
            </w:r>
          </w:p>
        </w:tc>
      </w:tr>
      <w:tr w:rsidR="00E81BC6" w:rsidRPr="00360945" w14:paraId="039BDEBC" w14:textId="77777777" w:rsidTr="00E81BC6">
        <w:tc>
          <w:tcPr>
            <w:tcW w:w="0" w:type="auto"/>
            <w:shd w:val="clear" w:color="auto" w:fill="auto"/>
            <w:tcMar>
              <w:top w:w="0" w:type="dxa"/>
              <w:left w:w="0" w:type="dxa"/>
              <w:bottom w:w="0" w:type="dxa"/>
              <w:right w:w="0" w:type="dxa"/>
            </w:tcMar>
            <w:vAlign w:val="center"/>
            <w:hideMark/>
          </w:tcPr>
          <w:p w14:paraId="0C5CB40C" w14:textId="77777777" w:rsidR="000F510B" w:rsidRDefault="000F510B" w:rsidP="00E81BC6">
            <w:pPr>
              <w:spacing w:after="100" w:afterAutospacing="1" w:line="240" w:lineRule="auto"/>
              <w:rPr>
                <w:rFonts w:eastAsia="Times New Roman" w:cstheme="minorHAnsi"/>
                <w:sz w:val="28"/>
                <w:szCs w:val="28"/>
              </w:rPr>
            </w:pPr>
          </w:p>
          <w:p w14:paraId="091D8D3A" w14:textId="77777777" w:rsidR="000F510B" w:rsidRDefault="000F510B" w:rsidP="00E81BC6">
            <w:pPr>
              <w:spacing w:after="100" w:afterAutospacing="1" w:line="240" w:lineRule="auto"/>
              <w:rPr>
                <w:rFonts w:eastAsia="Times New Roman" w:cstheme="minorHAnsi"/>
                <w:sz w:val="28"/>
                <w:szCs w:val="28"/>
              </w:rPr>
            </w:pPr>
          </w:p>
          <w:p w14:paraId="4B39D376" w14:textId="77777777" w:rsidR="000F510B" w:rsidRDefault="000F510B" w:rsidP="00E81BC6">
            <w:pPr>
              <w:spacing w:after="100" w:afterAutospacing="1" w:line="240" w:lineRule="auto"/>
              <w:rPr>
                <w:rFonts w:eastAsia="Times New Roman" w:cstheme="minorHAnsi"/>
                <w:sz w:val="28"/>
                <w:szCs w:val="28"/>
              </w:rPr>
            </w:pPr>
          </w:p>
          <w:p w14:paraId="2D29B295" w14:textId="77777777" w:rsidR="000F510B" w:rsidRDefault="000F510B" w:rsidP="00E81BC6">
            <w:pPr>
              <w:spacing w:after="100" w:afterAutospacing="1" w:line="240" w:lineRule="auto"/>
              <w:rPr>
                <w:rFonts w:eastAsia="Times New Roman" w:cstheme="minorHAnsi"/>
                <w:sz w:val="28"/>
                <w:szCs w:val="28"/>
              </w:rPr>
            </w:pPr>
          </w:p>
          <w:p w14:paraId="2C299C88" w14:textId="04723A0D" w:rsidR="00E81BC6" w:rsidRPr="00360945" w:rsidRDefault="00E81BC6" w:rsidP="00E81BC6">
            <w:pPr>
              <w:spacing w:after="100" w:afterAutospacing="1" w:line="240" w:lineRule="auto"/>
              <w:rPr>
                <w:rFonts w:eastAsia="Times New Roman" w:cstheme="minorHAnsi"/>
                <w:sz w:val="28"/>
                <w:szCs w:val="28"/>
              </w:rPr>
            </w:pPr>
            <w:r w:rsidRPr="00360945">
              <w:rPr>
                <w:rFonts w:eastAsia="Times New Roman" w:cstheme="minorHAnsi"/>
                <w:noProof/>
                <w:sz w:val="28"/>
                <w:szCs w:val="28"/>
              </w:rPr>
              <w:drawing>
                <wp:anchor distT="0" distB="0" distL="114300" distR="114300" simplePos="0" relativeHeight="251662336" behindDoc="0" locked="0" layoutInCell="1" allowOverlap="1" wp14:anchorId="69CC1323" wp14:editId="6350CC05">
                  <wp:simplePos x="914400" y="2552700"/>
                  <wp:positionH relativeFrom="margin">
                    <wp:align>center</wp:align>
                  </wp:positionH>
                  <wp:positionV relativeFrom="margin">
                    <wp:align>center</wp:align>
                  </wp:positionV>
                  <wp:extent cx="2743200" cy="2194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194560"/>
                          </a:xfrm>
                          <a:prstGeom prst="rect">
                            <a:avLst/>
                          </a:prstGeom>
                          <a:noFill/>
                          <a:ln>
                            <a:noFill/>
                          </a:ln>
                        </pic:spPr>
                      </pic:pic>
                    </a:graphicData>
                  </a:graphic>
                </wp:anchor>
              </w:drawing>
            </w:r>
          </w:p>
          <w:p w14:paraId="17B51514" w14:textId="77777777" w:rsidR="0038206F" w:rsidRPr="0029566C" w:rsidRDefault="0038206F" w:rsidP="00E81BC6">
            <w:pPr>
              <w:spacing w:after="100" w:afterAutospacing="1" w:line="240" w:lineRule="auto"/>
              <w:rPr>
                <w:rFonts w:eastAsia="Times New Roman" w:cstheme="minorHAnsi"/>
                <w:sz w:val="16"/>
                <w:szCs w:val="16"/>
              </w:rPr>
            </w:pPr>
            <w:r w:rsidRPr="0029566C">
              <w:rPr>
                <w:rFonts w:eastAsia="Times New Roman" w:cstheme="minorHAnsi"/>
                <w:sz w:val="16"/>
                <w:szCs w:val="16"/>
              </w:rPr>
              <w:t>Source: Executive Benefit Solutions</w:t>
            </w:r>
          </w:p>
          <w:p w14:paraId="555D9EA4" w14:textId="5615A704" w:rsidR="00F717CD" w:rsidRPr="00360945" w:rsidRDefault="00F717CD" w:rsidP="00E81BC6">
            <w:pPr>
              <w:spacing w:after="100" w:afterAutospacing="1" w:line="240" w:lineRule="auto"/>
              <w:rPr>
                <w:rFonts w:eastAsia="Times New Roman" w:cstheme="minorHAnsi"/>
                <w:sz w:val="28"/>
                <w:szCs w:val="28"/>
              </w:rPr>
            </w:pPr>
          </w:p>
        </w:tc>
      </w:tr>
    </w:tbl>
    <w:p w14:paraId="48E509DF" w14:textId="41461AE0" w:rsidR="000F510B" w:rsidRDefault="00067CC6" w:rsidP="000F510B">
      <w:pPr>
        <w:spacing w:after="100" w:afterAutospacing="1" w:line="276" w:lineRule="auto"/>
        <w:rPr>
          <w:rFonts w:eastAsia="Times New Roman" w:cstheme="minorHAnsi"/>
        </w:rPr>
      </w:pPr>
      <w:r>
        <w:rPr>
          <w:rFonts w:eastAsia="Times New Roman" w:cstheme="minorHAnsi"/>
        </w:rPr>
        <w:t>The</w:t>
      </w:r>
      <w:r w:rsidR="00E81BC6" w:rsidRPr="000F510B">
        <w:rPr>
          <w:rFonts w:eastAsia="Times New Roman" w:cstheme="minorHAnsi"/>
        </w:rPr>
        <w:t xml:space="preserve"> </w:t>
      </w:r>
      <w:r w:rsidR="00857F33" w:rsidRPr="000F510B">
        <w:rPr>
          <w:rFonts w:eastAsia="Times New Roman" w:cstheme="minorHAnsi"/>
        </w:rPr>
        <w:t>NQDC</w:t>
      </w:r>
      <w:r w:rsidR="0038206F" w:rsidRPr="000F510B">
        <w:rPr>
          <w:rFonts w:eastAsia="Times New Roman" w:cstheme="minorHAnsi"/>
        </w:rPr>
        <w:t xml:space="preserve"> </w:t>
      </w:r>
      <w:r w:rsidR="002D0363">
        <w:rPr>
          <w:rFonts w:eastAsia="Times New Roman" w:cstheme="minorHAnsi"/>
        </w:rPr>
        <w:t>Exit Strategy</w:t>
      </w:r>
      <w:r w:rsidR="00E81BC6" w:rsidRPr="000F510B">
        <w:rPr>
          <w:rFonts w:eastAsia="Times New Roman" w:cstheme="minorHAnsi"/>
        </w:rPr>
        <w:t xml:space="preserve"> is a </w:t>
      </w:r>
      <w:r w:rsidR="00864A77" w:rsidRPr="000F510B">
        <w:rPr>
          <w:rFonts w:eastAsia="Times New Roman" w:cstheme="minorHAnsi"/>
        </w:rPr>
        <w:t xml:space="preserve">somewhat </w:t>
      </w:r>
      <w:r w:rsidR="00E81BC6" w:rsidRPr="000F510B">
        <w:rPr>
          <w:rFonts w:eastAsia="Times New Roman" w:cstheme="minorHAnsi"/>
        </w:rPr>
        <w:t>complicated financial</w:t>
      </w:r>
      <w:r w:rsidR="00864A77" w:rsidRPr="000F510B">
        <w:rPr>
          <w:rFonts w:eastAsia="Times New Roman" w:cstheme="minorHAnsi"/>
        </w:rPr>
        <w:t xml:space="preserve"> and</w:t>
      </w:r>
      <w:r w:rsidR="00E81BC6" w:rsidRPr="000F510B">
        <w:rPr>
          <w:rFonts w:eastAsia="Times New Roman" w:cstheme="minorHAnsi"/>
        </w:rPr>
        <w:t xml:space="preserve"> tax</w:t>
      </w:r>
      <w:r w:rsidR="00864A77" w:rsidRPr="000F510B">
        <w:rPr>
          <w:rFonts w:eastAsia="Times New Roman" w:cstheme="minorHAnsi"/>
        </w:rPr>
        <w:t xml:space="preserve"> strategy</w:t>
      </w:r>
      <w:r w:rsidR="00E81BC6" w:rsidRPr="000F510B">
        <w:rPr>
          <w:rFonts w:eastAsia="Times New Roman" w:cstheme="minorHAnsi"/>
        </w:rPr>
        <w:t xml:space="preserve">. Experienced practitioners must help clients determine </w:t>
      </w:r>
      <w:r w:rsidR="00094844">
        <w:rPr>
          <w:rFonts w:eastAsia="Times New Roman" w:cstheme="minorHAnsi"/>
        </w:rPr>
        <w:t>benefits desired</w:t>
      </w:r>
      <w:r w:rsidR="00E81BC6" w:rsidRPr="000F510B">
        <w:rPr>
          <w:rFonts w:eastAsia="Times New Roman" w:cstheme="minorHAnsi"/>
        </w:rPr>
        <w:t>, plan mechanics</w:t>
      </w:r>
      <w:r w:rsidR="00094844">
        <w:rPr>
          <w:rFonts w:eastAsia="Times New Roman" w:cstheme="minorHAnsi"/>
        </w:rPr>
        <w:t>,</w:t>
      </w:r>
      <w:r w:rsidR="00E81BC6" w:rsidRPr="000F510B">
        <w:rPr>
          <w:rFonts w:eastAsia="Times New Roman" w:cstheme="minorHAnsi"/>
        </w:rPr>
        <w:t xml:space="preserve"> and the optimal life insurance arrangement</w:t>
      </w:r>
      <w:r w:rsidR="00864A77" w:rsidRPr="000F510B">
        <w:rPr>
          <w:rFonts w:eastAsia="Times New Roman" w:cstheme="minorHAnsi"/>
        </w:rPr>
        <w:t xml:space="preserve"> and financing to be </w:t>
      </w:r>
      <w:r w:rsidR="000F510B">
        <w:rPr>
          <w:rFonts w:eastAsia="Times New Roman" w:cstheme="minorHAnsi"/>
        </w:rPr>
        <w:t>applied</w:t>
      </w:r>
      <w:r w:rsidR="00E81BC6" w:rsidRPr="000F510B">
        <w:rPr>
          <w:rFonts w:eastAsia="Times New Roman" w:cstheme="minorHAnsi"/>
        </w:rPr>
        <w:t xml:space="preserve">. </w:t>
      </w:r>
    </w:p>
    <w:p w14:paraId="462DB10A" w14:textId="310FC3A8" w:rsidR="000F510B" w:rsidRDefault="000F510B" w:rsidP="000F510B">
      <w:pPr>
        <w:spacing w:after="100" w:afterAutospacing="1" w:line="276" w:lineRule="auto"/>
        <w:rPr>
          <w:rFonts w:eastAsia="Times New Roman" w:cstheme="minorHAnsi"/>
        </w:rPr>
      </w:pPr>
      <w:r w:rsidRPr="000F510B">
        <w:rPr>
          <w:rFonts w:eastAsia="Times New Roman" w:cstheme="minorHAnsi"/>
        </w:rPr>
        <w:t>It is</w:t>
      </w:r>
      <w:r w:rsidR="00E81BC6" w:rsidRPr="000F510B">
        <w:rPr>
          <w:rFonts w:eastAsia="Times New Roman" w:cstheme="minorHAnsi"/>
        </w:rPr>
        <w:t xml:space="preserve"> also </w:t>
      </w:r>
      <w:r w:rsidR="00094844">
        <w:rPr>
          <w:rFonts w:eastAsia="Times New Roman" w:cstheme="minorHAnsi"/>
        </w:rPr>
        <w:t>essential</w:t>
      </w:r>
      <w:r w:rsidR="00E81BC6" w:rsidRPr="000F510B">
        <w:rPr>
          <w:rFonts w:eastAsia="Times New Roman" w:cstheme="minorHAnsi"/>
        </w:rPr>
        <w:t xml:space="preserve"> for financial managers to understand how these arrangements work so they can help their e</w:t>
      </w:r>
      <w:r w:rsidR="00864A77" w:rsidRPr="000F510B">
        <w:rPr>
          <w:rFonts w:eastAsia="Times New Roman" w:cstheme="minorHAnsi"/>
        </w:rPr>
        <w:t>xecutives</w:t>
      </w:r>
      <w:r w:rsidR="00E81BC6" w:rsidRPr="000F510B">
        <w:rPr>
          <w:rFonts w:eastAsia="Times New Roman" w:cstheme="minorHAnsi"/>
        </w:rPr>
        <w:t xml:space="preserve"> assess the consequences</w:t>
      </w:r>
      <w:r w:rsidR="00094844">
        <w:rPr>
          <w:rFonts w:eastAsia="Times New Roman" w:cstheme="minorHAnsi"/>
        </w:rPr>
        <w:t xml:space="preserve"> of</w:t>
      </w:r>
      <w:r w:rsidR="00E81BC6" w:rsidRPr="000F510B">
        <w:rPr>
          <w:rFonts w:eastAsia="Times New Roman" w:cstheme="minorHAnsi"/>
        </w:rPr>
        <w:t xml:space="preserve"> </w:t>
      </w:r>
      <w:r w:rsidR="00864A77" w:rsidRPr="000F510B">
        <w:rPr>
          <w:rFonts w:eastAsia="Times New Roman" w:cstheme="minorHAnsi"/>
        </w:rPr>
        <w:t>using this strategy</w:t>
      </w:r>
      <w:r w:rsidR="00E81BC6" w:rsidRPr="000F510B">
        <w:rPr>
          <w:rFonts w:eastAsia="Times New Roman" w:cstheme="minorHAnsi"/>
        </w:rPr>
        <w:t xml:space="preserve">. </w:t>
      </w:r>
      <w:r w:rsidR="00864A77" w:rsidRPr="000F510B">
        <w:rPr>
          <w:rFonts w:eastAsia="Times New Roman" w:cstheme="minorHAnsi"/>
        </w:rPr>
        <w:t xml:space="preserve">The good news is that this is an individual program and </w:t>
      </w:r>
      <w:r w:rsidRPr="000F510B">
        <w:rPr>
          <w:rFonts w:eastAsia="Times New Roman" w:cstheme="minorHAnsi"/>
        </w:rPr>
        <w:t>does not</w:t>
      </w:r>
      <w:r w:rsidR="00864A77" w:rsidRPr="000F510B">
        <w:rPr>
          <w:rFonts w:eastAsia="Times New Roman" w:cstheme="minorHAnsi"/>
        </w:rPr>
        <w:t xml:space="preserve"> need any employer decision or modification to the current NQDC plan</w:t>
      </w:r>
      <w:r w:rsidR="0038206F" w:rsidRPr="000F510B">
        <w:rPr>
          <w:rFonts w:eastAsia="Times New Roman" w:cstheme="minorHAnsi"/>
        </w:rPr>
        <w:t>s</w:t>
      </w:r>
      <w:r w:rsidR="000C5D9B" w:rsidRPr="000F510B">
        <w:rPr>
          <w:rFonts w:eastAsia="Times New Roman" w:cstheme="minorHAnsi"/>
        </w:rPr>
        <w:t xml:space="preserve"> to adopt</w:t>
      </w:r>
      <w:r w:rsidR="00864A77" w:rsidRPr="000F510B">
        <w:rPr>
          <w:rFonts w:eastAsia="Times New Roman" w:cstheme="minorHAnsi"/>
        </w:rPr>
        <w:t xml:space="preserve">. </w:t>
      </w:r>
    </w:p>
    <w:p w14:paraId="565A7395" w14:textId="1CFCA8DE" w:rsidR="000C5D9B" w:rsidRPr="000F510B" w:rsidRDefault="00864A77" w:rsidP="000F510B">
      <w:pPr>
        <w:spacing w:after="100" w:afterAutospacing="1" w:line="276" w:lineRule="auto"/>
        <w:rPr>
          <w:rFonts w:eastAsia="Times New Roman" w:cstheme="minorHAnsi"/>
        </w:rPr>
      </w:pPr>
      <w:r w:rsidRPr="000F510B">
        <w:rPr>
          <w:rFonts w:eastAsia="Times New Roman" w:cstheme="minorHAnsi"/>
        </w:rPr>
        <w:t>This strategy can also be used for SERPs and other deferred comp arrangements, including restricted stock unit deferral plans</w:t>
      </w:r>
      <w:r w:rsidR="0038206F" w:rsidRPr="000F510B">
        <w:rPr>
          <w:rFonts w:eastAsia="Times New Roman" w:cstheme="minorHAnsi"/>
        </w:rPr>
        <w:t xml:space="preserve"> and 457(b) and 457(f) distribution</w:t>
      </w:r>
      <w:r w:rsidR="000F510B">
        <w:rPr>
          <w:rFonts w:eastAsia="Times New Roman" w:cstheme="minorHAnsi"/>
        </w:rPr>
        <w:t xml:space="preserve"> </w:t>
      </w:r>
      <w:r w:rsidR="00810272">
        <w:rPr>
          <w:rFonts w:eastAsia="Times New Roman" w:cstheme="minorHAnsi"/>
        </w:rPr>
        <w:t>plans</w:t>
      </w:r>
      <w:r w:rsidR="000F510B">
        <w:rPr>
          <w:rFonts w:eastAsia="Times New Roman" w:cstheme="minorHAnsi"/>
        </w:rPr>
        <w:t xml:space="preserve"> for </w:t>
      </w:r>
      <w:r w:rsidR="00472F7D">
        <w:rPr>
          <w:rFonts w:eastAsia="Times New Roman" w:cstheme="minorHAnsi"/>
        </w:rPr>
        <w:t>nonprofit</w:t>
      </w:r>
      <w:r w:rsidR="000F510B">
        <w:rPr>
          <w:rFonts w:eastAsia="Times New Roman" w:cstheme="minorHAnsi"/>
        </w:rPr>
        <w:t xml:space="preserve"> organizations.</w:t>
      </w:r>
    </w:p>
    <w:p w14:paraId="13B3F379" w14:textId="0C0D5936" w:rsidR="005D4173" w:rsidRPr="00472F7D" w:rsidRDefault="005D4173" w:rsidP="00E81BC6">
      <w:pPr>
        <w:spacing w:after="100" w:afterAutospacing="1" w:line="240" w:lineRule="auto"/>
        <w:rPr>
          <w:rFonts w:ascii="Arial Black" w:eastAsia="Times New Roman" w:hAnsi="Arial Black" w:cstheme="minorHAnsi"/>
          <w:b/>
          <w:bCs/>
          <w:sz w:val="20"/>
          <w:szCs w:val="20"/>
        </w:rPr>
      </w:pPr>
      <w:r w:rsidRPr="00472F7D">
        <w:rPr>
          <w:rFonts w:ascii="Arial Black" w:eastAsia="Times New Roman" w:hAnsi="Arial Black" w:cstheme="minorHAnsi"/>
          <w:b/>
          <w:bCs/>
          <w:sz w:val="20"/>
          <w:szCs w:val="20"/>
        </w:rPr>
        <w:t>Compared with Alternative</w:t>
      </w:r>
    </w:p>
    <w:p w14:paraId="46B3C045" w14:textId="39309756" w:rsidR="000F510B" w:rsidRPr="000F510B" w:rsidRDefault="005D4173" w:rsidP="000F510B">
      <w:pPr>
        <w:spacing w:after="100" w:afterAutospacing="1" w:line="276" w:lineRule="auto"/>
        <w:rPr>
          <w:rFonts w:eastAsia="Times New Roman" w:cstheme="minorHAnsi"/>
        </w:rPr>
      </w:pPr>
      <w:r w:rsidRPr="000F510B">
        <w:rPr>
          <w:rFonts w:eastAsia="Times New Roman" w:cstheme="minorHAnsi"/>
        </w:rPr>
        <w:t xml:space="preserve">The best way to </w:t>
      </w:r>
      <w:r w:rsidR="000F510B" w:rsidRPr="000F510B">
        <w:rPr>
          <w:rFonts w:eastAsia="Times New Roman" w:cstheme="minorHAnsi"/>
        </w:rPr>
        <w:t>grasp</w:t>
      </w:r>
      <w:r w:rsidRPr="000F510B">
        <w:rPr>
          <w:rFonts w:eastAsia="Times New Roman" w:cstheme="minorHAnsi"/>
        </w:rPr>
        <w:t xml:space="preserve"> the advantage of the NQDC</w:t>
      </w:r>
      <w:r w:rsidR="00F717CD" w:rsidRPr="000F510B">
        <w:rPr>
          <w:rFonts w:eastAsia="Times New Roman" w:cstheme="minorHAnsi"/>
        </w:rPr>
        <w:t xml:space="preserve"> </w:t>
      </w:r>
      <w:r w:rsidR="002D0363">
        <w:rPr>
          <w:rFonts w:eastAsia="Times New Roman" w:cstheme="minorHAnsi"/>
        </w:rPr>
        <w:t>Exit Strategy</w:t>
      </w:r>
      <w:r w:rsidRPr="000F510B">
        <w:rPr>
          <w:rFonts w:eastAsia="Times New Roman" w:cstheme="minorHAnsi"/>
        </w:rPr>
        <w:t xml:space="preserve"> is to compare it with</w:t>
      </w:r>
      <w:r w:rsidR="00F717CD" w:rsidRPr="000F510B">
        <w:rPr>
          <w:rFonts w:eastAsia="Times New Roman" w:cstheme="minorHAnsi"/>
        </w:rPr>
        <w:t xml:space="preserve"> the executive</w:t>
      </w:r>
      <w:r w:rsidRPr="000F510B">
        <w:rPr>
          <w:rFonts w:eastAsia="Times New Roman" w:cstheme="minorHAnsi"/>
        </w:rPr>
        <w:t xml:space="preserve"> taking a lump sum in cash</w:t>
      </w:r>
      <w:r w:rsidR="00F717CD" w:rsidRPr="000F510B">
        <w:rPr>
          <w:rFonts w:eastAsia="Times New Roman" w:cstheme="minorHAnsi"/>
        </w:rPr>
        <w:t xml:space="preserve"> at retirement</w:t>
      </w:r>
      <w:r w:rsidRPr="000F510B">
        <w:rPr>
          <w:rFonts w:eastAsia="Times New Roman" w:cstheme="minorHAnsi"/>
        </w:rPr>
        <w:t xml:space="preserve"> </w:t>
      </w:r>
      <w:r w:rsidR="000C5D9B" w:rsidRPr="000F510B">
        <w:rPr>
          <w:rFonts w:eastAsia="Times New Roman" w:cstheme="minorHAnsi"/>
        </w:rPr>
        <w:t xml:space="preserve">from his NQDC plan </w:t>
      </w:r>
      <w:r w:rsidRPr="000F510B">
        <w:rPr>
          <w:rFonts w:eastAsia="Times New Roman" w:cstheme="minorHAnsi"/>
        </w:rPr>
        <w:t xml:space="preserve">and investing the after-tax amount into a personally managed portfolio. </w:t>
      </w:r>
      <w:r w:rsidR="000F510B" w:rsidRPr="000F510B">
        <w:rPr>
          <w:rFonts w:eastAsia="Times New Roman" w:cstheme="minorHAnsi"/>
        </w:rPr>
        <w:t>U</w:t>
      </w:r>
      <w:r w:rsidR="000C5D9B" w:rsidRPr="000F510B">
        <w:rPr>
          <w:rFonts w:eastAsia="Times New Roman" w:cstheme="minorHAnsi"/>
        </w:rPr>
        <w:t xml:space="preserve">nfortunately, </w:t>
      </w:r>
      <w:r w:rsidR="000F510B" w:rsidRPr="000F510B">
        <w:rPr>
          <w:rFonts w:eastAsia="Times New Roman" w:cstheme="minorHAnsi"/>
        </w:rPr>
        <w:t xml:space="preserve">that is his only </w:t>
      </w:r>
      <w:r w:rsidR="000C5D9B" w:rsidRPr="000F510B">
        <w:rPr>
          <w:rFonts w:eastAsia="Times New Roman" w:cstheme="minorHAnsi"/>
        </w:rPr>
        <w:t>option, as NQDC plans can</w:t>
      </w:r>
      <w:r w:rsidR="000F510B" w:rsidRPr="000F510B">
        <w:rPr>
          <w:rFonts w:eastAsia="Times New Roman" w:cstheme="minorHAnsi"/>
        </w:rPr>
        <w:t>not</w:t>
      </w:r>
      <w:r w:rsidR="000C5D9B" w:rsidRPr="000F510B">
        <w:rPr>
          <w:rFonts w:eastAsia="Times New Roman" w:cstheme="minorHAnsi"/>
        </w:rPr>
        <w:t xml:space="preserve"> roll</w:t>
      </w:r>
      <w:r w:rsidR="00094844">
        <w:rPr>
          <w:rFonts w:eastAsia="Times New Roman" w:cstheme="minorHAnsi"/>
        </w:rPr>
        <w:t xml:space="preserve"> </w:t>
      </w:r>
      <w:r w:rsidR="000C5D9B" w:rsidRPr="000F510B">
        <w:rPr>
          <w:rFonts w:eastAsia="Times New Roman" w:cstheme="minorHAnsi"/>
        </w:rPr>
        <w:t xml:space="preserve">over funds into an IRA like qualified plans. </w:t>
      </w:r>
    </w:p>
    <w:p w14:paraId="107AC4F9" w14:textId="77777777" w:rsidR="00FB212A" w:rsidRDefault="00FB212A" w:rsidP="000F510B">
      <w:pPr>
        <w:spacing w:after="100" w:afterAutospacing="1" w:line="276" w:lineRule="auto"/>
        <w:rPr>
          <w:rFonts w:eastAsia="Times New Roman" w:cstheme="minorHAnsi"/>
        </w:rPr>
      </w:pPr>
    </w:p>
    <w:p w14:paraId="534516EB" w14:textId="1C87DFBD" w:rsidR="005D4173" w:rsidRPr="000F510B" w:rsidRDefault="000F510B" w:rsidP="000F510B">
      <w:pPr>
        <w:spacing w:after="100" w:afterAutospacing="1" w:line="276" w:lineRule="auto"/>
        <w:rPr>
          <w:rFonts w:eastAsia="Times New Roman" w:cstheme="minorHAnsi"/>
        </w:rPr>
      </w:pPr>
      <w:r>
        <w:rPr>
          <w:rFonts w:eastAsia="Times New Roman" w:cstheme="minorHAnsi"/>
        </w:rPr>
        <w:lastRenderedPageBreak/>
        <w:t>I</w:t>
      </w:r>
      <w:r w:rsidR="005D4173" w:rsidRPr="000F510B">
        <w:rPr>
          <w:rFonts w:eastAsia="Times New Roman" w:cstheme="minorHAnsi"/>
        </w:rPr>
        <w:t xml:space="preserve">n our example, </w:t>
      </w:r>
      <w:r w:rsidR="00094844">
        <w:rPr>
          <w:rFonts w:eastAsia="Times New Roman" w:cstheme="minorHAnsi"/>
        </w:rPr>
        <w:t>Bob Smith,</w:t>
      </w:r>
      <w:r w:rsidR="005D4173" w:rsidRPr="000F510B">
        <w:rPr>
          <w:rFonts w:eastAsia="Times New Roman" w:cstheme="minorHAnsi"/>
        </w:rPr>
        <w:t xml:space="preserve"> a </w:t>
      </w:r>
      <w:r w:rsidR="004228F4" w:rsidRPr="000F510B">
        <w:rPr>
          <w:rFonts w:eastAsia="Times New Roman" w:cstheme="minorHAnsi"/>
        </w:rPr>
        <w:t>58-year-old</w:t>
      </w:r>
      <w:r w:rsidR="005D4173" w:rsidRPr="000F510B">
        <w:rPr>
          <w:rFonts w:eastAsia="Times New Roman" w:cstheme="minorHAnsi"/>
        </w:rPr>
        <w:t xml:space="preserve"> executive</w:t>
      </w:r>
      <w:r w:rsidR="00094844">
        <w:rPr>
          <w:rFonts w:eastAsia="Times New Roman" w:cstheme="minorHAnsi"/>
        </w:rPr>
        <w:t>,</w:t>
      </w:r>
      <w:r w:rsidR="005D4173" w:rsidRPr="000F510B">
        <w:rPr>
          <w:rFonts w:eastAsia="Times New Roman" w:cstheme="minorHAnsi"/>
        </w:rPr>
        <w:t xml:space="preserve"> is planning on retiring in </w:t>
      </w:r>
      <w:r>
        <w:rPr>
          <w:rFonts w:eastAsia="Times New Roman" w:cstheme="minorHAnsi"/>
        </w:rPr>
        <w:t>seven</w:t>
      </w:r>
      <w:r w:rsidR="005D4173" w:rsidRPr="000F510B">
        <w:rPr>
          <w:rFonts w:eastAsia="Times New Roman" w:cstheme="minorHAnsi"/>
        </w:rPr>
        <w:t xml:space="preserve"> years </w:t>
      </w:r>
      <w:r w:rsidR="000C5D9B" w:rsidRPr="000F510B">
        <w:rPr>
          <w:rFonts w:eastAsia="Times New Roman" w:cstheme="minorHAnsi"/>
        </w:rPr>
        <w:t xml:space="preserve">(age 65) </w:t>
      </w:r>
      <w:r w:rsidR="005D4173" w:rsidRPr="000F510B">
        <w:rPr>
          <w:rFonts w:eastAsia="Times New Roman" w:cstheme="minorHAnsi"/>
        </w:rPr>
        <w:t>and has elected to take a lump</w:t>
      </w:r>
      <w:r w:rsidR="00094844">
        <w:rPr>
          <w:rFonts w:eastAsia="Times New Roman" w:cstheme="minorHAnsi"/>
        </w:rPr>
        <w:t>-</w:t>
      </w:r>
      <w:r w:rsidR="005D4173" w:rsidRPr="000F510B">
        <w:rPr>
          <w:rFonts w:eastAsia="Times New Roman" w:cstheme="minorHAnsi"/>
        </w:rPr>
        <w:t>sum payment</w:t>
      </w:r>
      <w:r w:rsidR="000C5D9B" w:rsidRPr="000F510B">
        <w:rPr>
          <w:rFonts w:eastAsia="Times New Roman" w:cstheme="minorHAnsi"/>
        </w:rPr>
        <w:t xml:space="preserve"> to avoid some of the risk</w:t>
      </w:r>
      <w:r w:rsidR="00094844">
        <w:rPr>
          <w:rFonts w:eastAsia="Times New Roman" w:cstheme="minorHAnsi"/>
        </w:rPr>
        <w:t>s</w:t>
      </w:r>
      <w:r w:rsidR="000C5D9B" w:rsidRPr="000F510B">
        <w:rPr>
          <w:rFonts w:eastAsia="Times New Roman" w:cstheme="minorHAnsi"/>
        </w:rPr>
        <w:t xml:space="preserve"> we discussed earlier</w:t>
      </w:r>
      <w:r w:rsidR="005D4173" w:rsidRPr="000F510B">
        <w:rPr>
          <w:rFonts w:eastAsia="Times New Roman" w:cstheme="minorHAnsi"/>
        </w:rPr>
        <w:t xml:space="preserve">. Today, his account balance is </w:t>
      </w:r>
      <w:r w:rsidR="00BC7ACB" w:rsidRPr="000F510B">
        <w:rPr>
          <w:rFonts w:eastAsia="Times New Roman" w:cstheme="minorHAnsi"/>
        </w:rPr>
        <w:t>$5,</w:t>
      </w:r>
      <w:r w:rsidR="004E132D">
        <w:rPr>
          <w:rFonts w:eastAsia="Times New Roman" w:cstheme="minorHAnsi"/>
        </w:rPr>
        <w:t>00</w:t>
      </w:r>
      <w:r w:rsidR="000C5D9B" w:rsidRPr="000F510B">
        <w:rPr>
          <w:rFonts w:eastAsia="Times New Roman" w:cstheme="minorHAnsi"/>
        </w:rPr>
        <w:t>0,000</w:t>
      </w:r>
      <w:r w:rsidR="00094844">
        <w:rPr>
          <w:rFonts w:eastAsia="Times New Roman" w:cstheme="minorHAnsi"/>
        </w:rPr>
        <w:t>,</w:t>
      </w:r>
      <w:r w:rsidR="00BC7ACB" w:rsidRPr="000F510B">
        <w:rPr>
          <w:rFonts w:eastAsia="Times New Roman" w:cstheme="minorHAnsi"/>
        </w:rPr>
        <w:t xml:space="preserve"> and we are assuming he will earn </w:t>
      </w:r>
      <w:r>
        <w:rPr>
          <w:rFonts w:eastAsia="Times New Roman" w:cstheme="minorHAnsi"/>
        </w:rPr>
        <w:t>five percent</w:t>
      </w:r>
      <w:r w:rsidR="00BC7ACB" w:rsidRPr="000F510B">
        <w:rPr>
          <w:rFonts w:eastAsia="Times New Roman" w:cstheme="minorHAnsi"/>
        </w:rPr>
        <w:t xml:space="preserve"> interest</w:t>
      </w:r>
      <w:r w:rsidR="000C5D9B" w:rsidRPr="000F510B">
        <w:rPr>
          <w:rFonts w:eastAsia="Times New Roman" w:cstheme="minorHAnsi"/>
        </w:rPr>
        <w:t xml:space="preserve"> over the next </w:t>
      </w:r>
      <w:r w:rsidR="00C154CD">
        <w:rPr>
          <w:rFonts w:eastAsia="Times New Roman" w:cstheme="minorHAnsi"/>
        </w:rPr>
        <w:t>seven</w:t>
      </w:r>
      <w:r w:rsidR="000C5D9B" w:rsidRPr="000F510B">
        <w:rPr>
          <w:rFonts w:eastAsia="Times New Roman" w:cstheme="minorHAnsi"/>
        </w:rPr>
        <w:t xml:space="preserve"> years</w:t>
      </w:r>
      <w:r w:rsidR="00F717CD" w:rsidRPr="000F510B">
        <w:rPr>
          <w:rFonts w:eastAsia="Times New Roman" w:cstheme="minorHAnsi"/>
        </w:rPr>
        <w:t xml:space="preserve">. </w:t>
      </w:r>
    </w:p>
    <w:p w14:paraId="33B760F2" w14:textId="74027633" w:rsidR="00BC7ACB" w:rsidRPr="000F510B" w:rsidRDefault="00BC7ACB" w:rsidP="000F510B">
      <w:pPr>
        <w:spacing w:after="100" w:afterAutospacing="1" w:line="276" w:lineRule="auto"/>
        <w:rPr>
          <w:rFonts w:eastAsia="Times New Roman" w:cstheme="minorHAnsi"/>
        </w:rPr>
      </w:pPr>
      <w:r w:rsidRPr="000F510B">
        <w:rPr>
          <w:rFonts w:eastAsia="Times New Roman" w:cstheme="minorHAnsi"/>
        </w:rPr>
        <w:t xml:space="preserve">In </w:t>
      </w:r>
      <w:r w:rsidR="00F717CD" w:rsidRPr="000F510B">
        <w:rPr>
          <w:rFonts w:eastAsia="Times New Roman" w:cstheme="minorHAnsi"/>
        </w:rPr>
        <w:t xml:space="preserve">our example, </w:t>
      </w:r>
      <w:r w:rsidRPr="000F510B">
        <w:rPr>
          <w:rFonts w:eastAsia="Times New Roman" w:cstheme="minorHAnsi"/>
        </w:rPr>
        <w:t>his account balance would grow to $</w:t>
      </w:r>
      <w:r w:rsidR="000C5D9B" w:rsidRPr="000F510B">
        <w:rPr>
          <w:rFonts w:eastAsia="Times New Roman" w:cstheme="minorHAnsi"/>
        </w:rPr>
        <w:t>7,035,502</w:t>
      </w:r>
      <w:r w:rsidR="00F717CD" w:rsidRPr="000F510B">
        <w:rPr>
          <w:rFonts w:eastAsia="Times New Roman" w:cstheme="minorHAnsi"/>
        </w:rPr>
        <w:t xml:space="preserve"> </w:t>
      </w:r>
      <w:r w:rsidR="00C154CD">
        <w:rPr>
          <w:rFonts w:eastAsia="Times New Roman" w:cstheme="minorHAnsi"/>
        </w:rPr>
        <w:t>at five percent in seven years.</w:t>
      </w:r>
      <w:r w:rsidRPr="000F510B">
        <w:rPr>
          <w:rFonts w:eastAsia="Times New Roman" w:cstheme="minorHAnsi"/>
        </w:rPr>
        <w:t xml:space="preserve"> At his current lump</w:t>
      </w:r>
      <w:r w:rsidR="00094844">
        <w:rPr>
          <w:rFonts w:eastAsia="Times New Roman" w:cstheme="minorHAnsi"/>
        </w:rPr>
        <w:t>-</w:t>
      </w:r>
      <w:r w:rsidRPr="000F510B">
        <w:rPr>
          <w:rFonts w:eastAsia="Times New Roman" w:cstheme="minorHAnsi"/>
        </w:rPr>
        <w:t>sum election</w:t>
      </w:r>
      <w:r w:rsidR="00C154CD">
        <w:rPr>
          <w:rFonts w:eastAsia="Times New Roman" w:cstheme="minorHAnsi"/>
        </w:rPr>
        <w:t>,</w:t>
      </w:r>
      <w:r w:rsidRPr="000F510B">
        <w:rPr>
          <w:rFonts w:eastAsia="Times New Roman" w:cstheme="minorHAnsi"/>
        </w:rPr>
        <w:t xml:space="preserve"> and assum</w:t>
      </w:r>
      <w:r w:rsidR="00C154CD">
        <w:rPr>
          <w:rFonts w:eastAsia="Times New Roman" w:cstheme="minorHAnsi"/>
        </w:rPr>
        <w:t>ing</w:t>
      </w:r>
      <w:r w:rsidRPr="000F510B">
        <w:rPr>
          <w:rFonts w:eastAsia="Times New Roman" w:cstheme="minorHAnsi"/>
        </w:rPr>
        <w:t xml:space="preserve"> a 40</w:t>
      </w:r>
      <w:r w:rsidR="00C154CD">
        <w:rPr>
          <w:rFonts w:eastAsia="Times New Roman" w:cstheme="minorHAnsi"/>
        </w:rPr>
        <w:t xml:space="preserve"> percent</w:t>
      </w:r>
      <w:r w:rsidRPr="000F510B">
        <w:rPr>
          <w:rFonts w:eastAsia="Times New Roman" w:cstheme="minorHAnsi"/>
        </w:rPr>
        <w:t xml:space="preserve"> tax bracket (state and federal)</w:t>
      </w:r>
      <w:r w:rsidR="00094844">
        <w:rPr>
          <w:rFonts w:eastAsia="Times New Roman" w:cstheme="minorHAnsi"/>
        </w:rPr>
        <w:t>,</w:t>
      </w:r>
      <w:r w:rsidRPr="000F510B">
        <w:rPr>
          <w:rFonts w:eastAsia="Times New Roman" w:cstheme="minorHAnsi"/>
        </w:rPr>
        <w:t xml:space="preserve"> he will net out $4,</w:t>
      </w:r>
      <w:r w:rsidR="000C5D9B" w:rsidRPr="000F510B">
        <w:rPr>
          <w:rFonts w:eastAsia="Times New Roman" w:cstheme="minorHAnsi"/>
        </w:rPr>
        <w:t>221,301</w:t>
      </w:r>
      <w:r w:rsidR="00C154CD">
        <w:rPr>
          <w:rFonts w:eastAsia="Times New Roman" w:cstheme="minorHAnsi"/>
        </w:rPr>
        <w:t>. He can use this money</w:t>
      </w:r>
      <w:r w:rsidR="00F717CD" w:rsidRPr="000F510B">
        <w:rPr>
          <w:rFonts w:eastAsia="Times New Roman" w:cstheme="minorHAnsi"/>
        </w:rPr>
        <w:t xml:space="preserve"> </w:t>
      </w:r>
      <w:r w:rsidR="000C5D9B" w:rsidRPr="000F510B">
        <w:rPr>
          <w:rFonts w:eastAsia="Times New Roman" w:cstheme="minorHAnsi"/>
        </w:rPr>
        <w:t xml:space="preserve">toward his retirement income. </w:t>
      </w:r>
    </w:p>
    <w:p w14:paraId="3156B9DA" w14:textId="051D8854" w:rsidR="00360945" w:rsidRPr="000F510B" w:rsidRDefault="00360945" w:rsidP="000F510B">
      <w:pPr>
        <w:spacing w:after="100" w:afterAutospacing="1" w:line="276" w:lineRule="auto"/>
        <w:rPr>
          <w:rFonts w:ascii="Arial Black" w:eastAsia="Times New Roman" w:hAnsi="Arial Black" w:cstheme="minorHAnsi"/>
          <w:b/>
          <w:bCs/>
          <w:sz w:val="20"/>
          <w:szCs w:val="20"/>
        </w:rPr>
      </w:pPr>
      <w:r w:rsidRPr="000F510B">
        <w:rPr>
          <w:rFonts w:ascii="Arial Black" w:eastAsia="Times New Roman" w:hAnsi="Arial Black" w:cstheme="minorHAnsi"/>
          <w:b/>
          <w:bCs/>
          <w:sz w:val="20"/>
          <w:szCs w:val="20"/>
        </w:rPr>
        <w:t>Planning for Retirement</w:t>
      </w:r>
    </w:p>
    <w:p w14:paraId="5903BE5A" w14:textId="308DFF40" w:rsidR="006B1A77" w:rsidRPr="00FB212A" w:rsidRDefault="006B1A77" w:rsidP="000F510B">
      <w:pPr>
        <w:spacing w:after="100" w:afterAutospacing="1" w:line="276" w:lineRule="auto"/>
        <w:rPr>
          <w:rFonts w:eastAsia="Times New Roman" w:cstheme="minorHAnsi"/>
        </w:rPr>
      </w:pPr>
      <w:r w:rsidRPr="00FB212A">
        <w:rPr>
          <w:rFonts w:eastAsia="Times New Roman" w:cstheme="minorHAnsi"/>
        </w:rPr>
        <w:t>Like most executives, Bob has additional assets th</w:t>
      </w:r>
      <w:r w:rsidR="00002510" w:rsidRPr="00FB212A">
        <w:rPr>
          <w:rFonts w:eastAsia="Times New Roman" w:cstheme="minorHAnsi"/>
        </w:rPr>
        <w:t>at</w:t>
      </w:r>
      <w:r w:rsidRPr="00FB212A">
        <w:rPr>
          <w:rFonts w:eastAsia="Times New Roman" w:cstheme="minorHAnsi"/>
        </w:rPr>
        <w:t xml:space="preserve"> he has earmarked toward his retirement goals. He’s accumulated shares of company stock th</w:t>
      </w:r>
      <w:r w:rsidR="00094844" w:rsidRPr="00FB212A">
        <w:rPr>
          <w:rFonts w:eastAsia="Times New Roman" w:cstheme="minorHAnsi"/>
        </w:rPr>
        <w:t>r</w:t>
      </w:r>
      <w:r w:rsidRPr="00FB212A">
        <w:rPr>
          <w:rFonts w:eastAsia="Times New Roman" w:cstheme="minorHAnsi"/>
        </w:rPr>
        <w:t>ough various programs, is holding unvested restricted stock units</w:t>
      </w:r>
      <w:r w:rsidR="00832FBA" w:rsidRPr="00FB212A">
        <w:rPr>
          <w:rFonts w:eastAsia="Times New Roman" w:cstheme="minorHAnsi"/>
        </w:rPr>
        <w:t xml:space="preserve"> (RSUs)</w:t>
      </w:r>
      <w:r w:rsidR="00094844" w:rsidRPr="00FB212A">
        <w:rPr>
          <w:rFonts w:eastAsia="Times New Roman" w:cstheme="minorHAnsi"/>
        </w:rPr>
        <w:t>,</w:t>
      </w:r>
      <w:r w:rsidRPr="00FB212A">
        <w:rPr>
          <w:rFonts w:eastAsia="Times New Roman" w:cstheme="minorHAnsi"/>
        </w:rPr>
        <w:t xml:space="preserve"> and has </w:t>
      </w:r>
      <w:r w:rsidR="00002510" w:rsidRPr="00FB212A">
        <w:rPr>
          <w:rFonts w:eastAsia="Times New Roman" w:cstheme="minorHAnsi"/>
        </w:rPr>
        <w:t xml:space="preserve">stock </w:t>
      </w:r>
      <w:r w:rsidRPr="00FB212A">
        <w:rPr>
          <w:rFonts w:eastAsia="Times New Roman" w:cstheme="minorHAnsi"/>
        </w:rPr>
        <w:t>options. He also has a 401(k) plan, IRA Rollover account</w:t>
      </w:r>
      <w:r w:rsidR="00094844" w:rsidRPr="00FB212A">
        <w:rPr>
          <w:rFonts w:eastAsia="Times New Roman" w:cstheme="minorHAnsi"/>
        </w:rPr>
        <w:t>,</w:t>
      </w:r>
      <w:r w:rsidRPr="00FB212A">
        <w:rPr>
          <w:rFonts w:eastAsia="Times New Roman" w:cstheme="minorHAnsi"/>
        </w:rPr>
        <w:t xml:space="preserve"> and an investment portfolio.</w:t>
      </w:r>
      <w:r w:rsidR="00FB212A" w:rsidRPr="00FB212A">
        <w:rPr>
          <w:rFonts w:eastAsia="Times New Roman" w:cstheme="minorHAnsi"/>
        </w:rPr>
        <w:t xml:space="preserve"> Let’s look at the asset breakdown:</w:t>
      </w:r>
    </w:p>
    <w:p w14:paraId="58FFCBC9" w14:textId="514A27D2" w:rsidR="006B1A77" w:rsidRPr="00FB212A" w:rsidRDefault="006B1A77" w:rsidP="009C4B63">
      <w:pPr>
        <w:pStyle w:val="ListParagraph"/>
        <w:numPr>
          <w:ilvl w:val="0"/>
          <w:numId w:val="14"/>
        </w:numPr>
        <w:spacing w:after="100" w:afterAutospacing="1" w:line="240" w:lineRule="auto"/>
        <w:rPr>
          <w:rFonts w:eastAsia="Times New Roman" w:cstheme="minorHAnsi"/>
        </w:rPr>
      </w:pPr>
      <w:r w:rsidRPr="00FB212A">
        <w:rPr>
          <w:rFonts w:eastAsia="Times New Roman" w:cstheme="minorHAnsi"/>
        </w:rPr>
        <w:t xml:space="preserve">Company stock </w:t>
      </w:r>
      <w:r w:rsidR="00832FBA" w:rsidRPr="00FB212A">
        <w:rPr>
          <w:rFonts w:eastAsia="Times New Roman" w:cstheme="minorHAnsi"/>
        </w:rPr>
        <w:t>3</w:t>
      </w:r>
      <w:r w:rsidRPr="00FB212A">
        <w:rPr>
          <w:rFonts w:eastAsia="Times New Roman" w:cstheme="minorHAnsi"/>
        </w:rPr>
        <w:t>,100 shares at $</w:t>
      </w:r>
      <w:r w:rsidR="00832FBA" w:rsidRPr="00FB212A">
        <w:rPr>
          <w:rFonts w:eastAsia="Times New Roman" w:cstheme="minorHAnsi"/>
        </w:rPr>
        <w:t>1</w:t>
      </w:r>
      <w:r w:rsidRPr="00FB212A">
        <w:rPr>
          <w:rFonts w:eastAsia="Times New Roman" w:cstheme="minorHAnsi"/>
        </w:rPr>
        <w:t xml:space="preserve">54 </w:t>
      </w:r>
      <w:r w:rsidR="00FB212A" w:rsidRPr="00FB212A">
        <w:rPr>
          <w:rFonts w:eastAsia="Times New Roman" w:cstheme="minorHAnsi"/>
        </w:rPr>
        <w:t xml:space="preserve">  </w:t>
      </w:r>
      <w:r w:rsidRPr="00FB212A">
        <w:rPr>
          <w:rFonts w:eastAsia="Times New Roman" w:cstheme="minorHAnsi"/>
        </w:rPr>
        <w:t xml:space="preserve"> </w:t>
      </w:r>
      <w:r w:rsidR="00832FBA" w:rsidRPr="00FB212A">
        <w:rPr>
          <w:rFonts w:eastAsia="Times New Roman" w:cstheme="minorHAnsi"/>
        </w:rPr>
        <w:t xml:space="preserve"> </w:t>
      </w:r>
      <w:proofErr w:type="gramStart"/>
      <w:r w:rsidR="004228F4" w:rsidRPr="00FB212A">
        <w:rPr>
          <w:rFonts w:eastAsia="Times New Roman" w:cstheme="minorHAnsi"/>
        </w:rPr>
        <w:t>$</w:t>
      </w:r>
      <w:r w:rsidR="00C154CD" w:rsidRPr="00FB212A">
        <w:rPr>
          <w:rFonts w:eastAsia="Times New Roman" w:cstheme="minorHAnsi"/>
        </w:rPr>
        <w:t xml:space="preserve"> </w:t>
      </w:r>
      <w:r w:rsidR="004228F4" w:rsidRPr="00FB212A">
        <w:rPr>
          <w:rFonts w:eastAsia="Times New Roman" w:cstheme="minorHAnsi"/>
        </w:rPr>
        <w:t xml:space="preserve"> 477,400</w:t>
      </w:r>
      <w:proofErr w:type="gramEnd"/>
    </w:p>
    <w:p w14:paraId="1E315826" w14:textId="752E5575" w:rsidR="00832FBA" w:rsidRPr="00FB212A" w:rsidRDefault="00832FBA" w:rsidP="009C4B63">
      <w:pPr>
        <w:pStyle w:val="ListParagraph"/>
        <w:numPr>
          <w:ilvl w:val="0"/>
          <w:numId w:val="14"/>
        </w:numPr>
        <w:spacing w:after="100" w:afterAutospacing="1" w:line="240" w:lineRule="auto"/>
        <w:rPr>
          <w:rFonts w:eastAsia="Times New Roman" w:cstheme="minorHAnsi"/>
        </w:rPr>
      </w:pPr>
      <w:r w:rsidRPr="00FB212A">
        <w:rPr>
          <w:rFonts w:eastAsia="Times New Roman" w:cstheme="minorHAnsi"/>
        </w:rPr>
        <w:t>RSUs value                                                        206,300</w:t>
      </w:r>
    </w:p>
    <w:p w14:paraId="31712F36" w14:textId="28243F0F" w:rsidR="00832FBA" w:rsidRPr="00FB212A" w:rsidRDefault="00832FBA" w:rsidP="009C4B63">
      <w:pPr>
        <w:pStyle w:val="ListParagraph"/>
        <w:numPr>
          <w:ilvl w:val="0"/>
          <w:numId w:val="14"/>
        </w:numPr>
        <w:spacing w:after="100" w:afterAutospacing="1" w:line="240" w:lineRule="auto"/>
        <w:rPr>
          <w:rFonts w:eastAsia="Times New Roman" w:cstheme="minorHAnsi"/>
        </w:rPr>
      </w:pPr>
      <w:r w:rsidRPr="00FB212A">
        <w:rPr>
          <w:rFonts w:eastAsia="Times New Roman" w:cstheme="minorHAnsi"/>
        </w:rPr>
        <w:t>Gains from stock options                               196,000</w:t>
      </w:r>
    </w:p>
    <w:p w14:paraId="169417E3" w14:textId="77777777" w:rsidR="00832FBA" w:rsidRPr="00FB212A" w:rsidRDefault="00832FBA" w:rsidP="009C4B63">
      <w:pPr>
        <w:pStyle w:val="ListParagraph"/>
        <w:numPr>
          <w:ilvl w:val="0"/>
          <w:numId w:val="14"/>
        </w:numPr>
        <w:spacing w:after="100" w:afterAutospacing="1" w:line="240" w:lineRule="auto"/>
        <w:rPr>
          <w:rFonts w:eastAsia="Times New Roman" w:cstheme="minorHAnsi"/>
        </w:rPr>
      </w:pPr>
      <w:r w:rsidRPr="00FB212A">
        <w:rPr>
          <w:rFonts w:eastAsia="Times New Roman" w:cstheme="minorHAnsi"/>
        </w:rPr>
        <w:t xml:space="preserve">401(k) balance                                              1,200,000    </w:t>
      </w:r>
    </w:p>
    <w:p w14:paraId="1B774480" w14:textId="1D9AA8CB" w:rsidR="00C154CD" w:rsidRPr="00FB212A" w:rsidRDefault="00832FBA" w:rsidP="009C4B63">
      <w:pPr>
        <w:pStyle w:val="ListParagraph"/>
        <w:numPr>
          <w:ilvl w:val="0"/>
          <w:numId w:val="14"/>
        </w:numPr>
        <w:spacing w:after="100" w:afterAutospacing="1" w:line="240" w:lineRule="auto"/>
        <w:rPr>
          <w:rFonts w:eastAsia="Times New Roman" w:cstheme="minorHAnsi"/>
        </w:rPr>
      </w:pPr>
      <w:r w:rsidRPr="00FB212A">
        <w:rPr>
          <w:rFonts w:eastAsia="Times New Roman" w:cstheme="minorHAnsi"/>
        </w:rPr>
        <w:t xml:space="preserve">Investment portfolio                                   1,427,000         </w:t>
      </w:r>
    </w:p>
    <w:p w14:paraId="10A7DED1" w14:textId="4BAE0B3A" w:rsidR="00832FBA" w:rsidRPr="00FB212A" w:rsidRDefault="00832FBA" w:rsidP="000F510B">
      <w:pPr>
        <w:spacing w:after="100" w:afterAutospacing="1" w:line="276" w:lineRule="auto"/>
        <w:rPr>
          <w:rFonts w:eastAsia="Times New Roman" w:cstheme="minorHAnsi"/>
        </w:rPr>
      </w:pPr>
      <w:r w:rsidRPr="00FB212A">
        <w:rPr>
          <w:rFonts w:eastAsia="Times New Roman" w:cstheme="minorHAnsi"/>
        </w:rPr>
        <w:t xml:space="preserve">Bob’s employer has provided him with a financial coach through a </w:t>
      </w:r>
      <w:r w:rsidR="005714B1" w:rsidRPr="00FB212A">
        <w:rPr>
          <w:rFonts w:eastAsia="Times New Roman" w:cstheme="minorHAnsi"/>
        </w:rPr>
        <w:t xml:space="preserve">financial </w:t>
      </w:r>
      <w:r w:rsidRPr="00FB212A">
        <w:rPr>
          <w:rFonts w:eastAsia="Times New Roman" w:cstheme="minorHAnsi"/>
        </w:rPr>
        <w:t>planning service with</w:t>
      </w:r>
      <w:r w:rsidR="00094844" w:rsidRPr="00FB212A">
        <w:rPr>
          <w:rFonts w:eastAsia="Times New Roman" w:cstheme="minorHAnsi"/>
        </w:rPr>
        <w:t xml:space="preserve">             </w:t>
      </w:r>
      <w:r w:rsidR="00C154CD" w:rsidRPr="00FB212A">
        <w:rPr>
          <w:rFonts w:eastAsia="Times New Roman" w:cstheme="minorHAnsi"/>
        </w:rPr>
        <w:t xml:space="preserve"> </w:t>
      </w:r>
      <w:hyperlink r:id="rId22" w:history="1">
        <w:r w:rsidR="00FB212A" w:rsidRPr="001C4FE0">
          <w:rPr>
            <w:rStyle w:val="Hyperlink"/>
            <w:rFonts w:eastAsia="Times New Roman" w:cstheme="minorHAnsi"/>
          </w:rPr>
          <w:t>www.myfinancialcoach.com.</w:t>
        </w:r>
      </w:hyperlink>
    </w:p>
    <w:p w14:paraId="6871ABE8" w14:textId="10E17ADE" w:rsidR="00C154CD" w:rsidRPr="00FB212A" w:rsidRDefault="00C154CD" w:rsidP="000F510B">
      <w:pPr>
        <w:spacing w:after="100" w:afterAutospacing="1" w:line="276" w:lineRule="auto"/>
        <w:rPr>
          <w:rFonts w:eastAsia="Times New Roman" w:cstheme="minorHAnsi"/>
        </w:rPr>
      </w:pPr>
      <w:r w:rsidRPr="00FB212A">
        <w:rPr>
          <w:rFonts w:eastAsia="Times New Roman" w:cstheme="minorHAnsi"/>
        </w:rPr>
        <w:t xml:space="preserve">In </w:t>
      </w:r>
      <w:r w:rsidR="00832FBA" w:rsidRPr="00FB212A">
        <w:rPr>
          <w:rFonts w:eastAsia="Times New Roman" w:cstheme="minorHAnsi"/>
        </w:rPr>
        <w:t>working with his Certified Financial Planner® (CFP</w:t>
      </w:r>
      <w:r w:rsidR="00002510" w:rsidRPr="00FB212A">
        <w:rPr>
          <w:rFonts w:eastAsia="Times New Roman" w:cstheme="minorHAnsi"/>
        </w:rPr>
        <w:t>®</w:t>
      </w:r>
      <w:r w:rsidR="00832FBA" w:rsidRPr="00FB212A">
        <w:rPr>
          <w:rFonts w:eastAsia="Times New Roman" w:cstheme="minorHAnsi"/>
        </w:rPr>
        <w:t>) coach</w:t>
      </w:r>
      <w:r w:rsidR="00067CC6">
        <w:rPr>
          <w:rFonts w:eastAsia="Times New Roman" w:cstheme="minorHAnsi"/>
        </w:rPr>
        <w:t xml:space="preserve"> and using</w:t>
      </w:r>
      <w:r w:rsidR="00832FBA" w:rsidRPr="00FB212A">
        <w:rPr>
          <w:rFonts w:eastAsia="Times New Roman" w:cstheme="minorHAnsi"/>
        </w:rPr>
        <w:t xml:space="preserve"> My Financial Coach tools</w:t>
      </w:r>
      <w:r w:rsidRPr="00FB212A">
        <w:rPr>
          <w:rFonts w:eastAsia="Times New Roman" w:cstheme="minorHAnsi"/>
        </w:rPr>
        <w:t>,</w:t>
      </w:r>
      <w:r w:rsidR="00832FBA" w:rsidRPr="00FB212A">
        <w:rPr>
          <w:rFonts w:eastAsia="Times New Roman" w:cstheme="minorHAnsi"/>
        </w:rPr>
        <w:t xml:space="preserve"> </w:t>
      </w:r>
      <w:r w:rsidR="00FB212A">
        <w:rPr>
          <w:rFonts w:eastAsia="Times New Roman" w:cstheme="minorHAnsi"/>
        </w:rPr>
        <w:t>they</w:t>
      </w:r>
      <w:r w:rsidR="00FB212A" w:rsidRPr="00FB212A">
        <w:rPr>
          <w:rFonts w:eastAsia="Times New Roman" w:cstheme="minorHAnsi"/>
        </w:rPr>
        <w:t xml:space="preserve"> </w:t>
      </w:r>
      <w:r w:rsidR="00832FBA" w:rsidRPr="00FB212A">
        <w:rPr>
          <w:rFonts w:eastAsia="Times New Roman" w:cstheme="minorHAnsi"/>
        </w:rPr>
        <w:t xml:space="preserve">mapped out retirement projections based on Bob’s goals.  </w:t>
      </w:r>
      <w:r w:rsidR="005714B1" w:rsidRPr="00FB212A">
        <w:rPr>
          <w:rFonts w:eastAsia="Times New Roman" w:cstheme="minorHAnsi"/>
        </w:rPr>
        <w:t xml:space="preserve">Since he </w:t>
      </w:r>
      <w:r w:rsidRPr="00FB212A">
        <w:rPr>
          <w:rFonts w:eastAsia="Times New Roman" w:cstheme="minorHAnsi"/>
        </w:rPr>
        <w:t xml:space="preserve">owns several </w:t>
      </w:r>
      <w:r w:rsidR="005714B1" w:rsidRPr="00FB212A">
        <w:rPr>
          <w:rFonts w:eastAsia="Times New Roman" w:cstheme="minorHAnsi"/>
        </w:rPr>
        <w:t xml:space="preserve">assets, he doesn’t need to withdraw his nonqualified plan money for a few years. </w:t>
      </w:r>
    </w:p>
    <w:p w14:paraId="4ADFEB9D" w14:textId="0E8E6F01" w:rsidR="00002510" w:rsidRPr="00FB212A" w:rsidRDefault="005714B1" w:rsidP="000F510B">
      <w:pPr>
        <w:spacing w:after="100" w:afterAutospacing="1" w:line="276" w:lineRule="auto"/>
        <w:rPr>
          <w:rFonts w:eastAsia="Times New Roman" w:cstheme="minorHAnsi"/>
        </w:rPr>
      </w:pPr>
      <w:r w:rsidRPr="00FB212A">
        <w:rPr>
          <w:rFonts w:eastAsia="Times New Roman" w:cstheme="minorHAnsi"/>
        </w:rPr>
        <w:t>However, because he is concerned with the risk factors discussed earl</w:t>
      </w:r>
      <w:r w:rsidR="00067CC6">
        <w:rPr>
          <w:rFonts w:eastAsia="Times New Roman" w:cstheme="minorHAnsi"/>
        </w:rPr>
        <w:t>ier</w:t>
      </w:r>
      <w:r w:rsidRPr="00FB212A">
        <w:rPr>
          <w:rFonts w:eastAsia="Times New Roman" w:cstheme="minorHAnsi"/>
        </w:rPr>
        <w:t>, he plans on taking a lump sum at retirement and moving those funds into</w:t>
      </w:r>
      <w:r w:rsidRPr="004E132D">
        <w:rPr>
          <w:rFonts w:eastAsia="Times New Roman" w:cstheme="minorHAnsi"/>
        </w:rPr>
        <w:t xml:space="preserve"> the </w:t>
      </w:r>
      <w:r w:rsidRPr="00FB212A">
        <w:rPr>
          <w:rFonts w:eastAsia="Times New Roman" w:cstheme="minorHAnsi"/>
          <w:b/>
          <w:bCs/>
        </w:rPr>
        <w:t xml:space="preserve">NQDC </w:t>
      </w:r>
      <w:r w:rsidR="002D0363">
        <w:rPr>
          <w:rFonts w:eastAsia="Times New Roman" w:cstheme="minorHAnsi"/>
          <w:b/>
          <w:bCs/>
        </w:rPr>
        <w:t>Exit Strategy</w:t>
      </w:r>
      <w:r w:rsidRPr="00FB212A">
        <w:rPr>
          <w:rFonts w:eastAsia="Times New Roman" w:cstheme="minorHAnsi"/>
        </w:rPr>
        <w:t>, and holding off on taking distributions for five years, until age 7</w:t>
      </w:r>
      <w:r w:rsidR="00951E24">
        <w:rPr>
          <w:rFonts w:eastAsia="Times New Roman" w:cstheme="minorHAnsi"/>
        </w:rPr>
        <w:t>0</w:t>
      </w:r>
      <w:r w:rsidRPr="00FB212A">
        <w:rPr>
          <w:rFonts w:eastAsia="Times New Roman" w:cstheme="minorHAnsi"/>
        </w:rPr>
        <w:t xml:space="preserve">. The 401(k) can be rolled over, and he </w:t>
      </w:r>
      <w:r w:rsidR="00C154CD" w:rsidRPr="00FB212A">
        <w:rPr>
          <w:rFonts w:eastAsia="Times New Roman" w:cstheme="minorHAnsi"/>
        </w:rPr>
        <w:t>does not</w:t>
      </w:r>
      <w:r w:rsidRPr="00FB212A">
        <w:rPr>
          <w:rFonts w:eastAsia="Times New Roman" w:cstheme="minorHAnsi"/>
        </w:rPr>
        <w:t xml:space="preserve"> have to </w:t>
      </w:r>
      <w:r w:rsidR="00C154CD" w:rsidRPr="00FB212A">
        <w:rPr>
          <w:rFonts w:eastAsia="Times New Roman" w:cstheme="minorHAnsi"/>
        </w:rPr>
        <w:t>begin</w:t>
      </w:r>
      <w:r w:rsidRPr="00FB212A">
        <w:rPr>
          <w:rFonts w:eastAsia="Times New Roman" w:cstheme="minorHAnsi"/>
        </w:rPr>
        <w:t xml:space="preserve"> </w:t>
      </w:r>
      <w:r w:rsidR="00094844" w:rsidRPr="00FB212A">
        <w:rPr>
          <w:rFonts w:eastAsia="Times New Roman" w:cstheme="minorHAnsi"/>
        </w:rPr>
        <w:t>receiv</w:t>
      </w:r>
      <w:r w:rsidRPr="00FB212A">
        <w:rPr>
          <w:rFonts w:eastAsia="Times New Roman" w:cstheme="minorHAnsi"/>
        </w:rPr>
        <w:t xml:space="preserve">ing money until age 72 under the Required Minimum Distribution (RMD) rules. </w:t>
      </w:r>
      <w:r w:rsidR="00832FBA" w:rsidRPr="00FB212A">
        <w:rPr>
          <w:rFonts w:eastAsia="Times New Roman" w:cstheme="minorHAnsi"/>
        </w:rPr>
        <w:t xml:space="preserve">  </w:t>
      </w:r>
    </w:p>
    <w:p w14:paraId="780A9825" w14:textId="72406227" w:rsidR="00605F9C" w:rsidRDefault="00C154CD" w:rsidP="00C154CD">
      <w:pPr>
        <w:spacing w:after="100" w:afterAutospacing="1" w:line="276" w:lineRule="auto"/>
        <w:rPr>
          <w:rFonts w:eastAsia="Times New Roman" w:cstheme="minorHAnsi"/>
        </w:rPr>
      </w:pPr>
      <w:r w:rsidRPr="00FB212A">
        <w:rPr>
          <w:rFonts w:eastAsia="Times New Roman" w:cstheme="minorHAnsi"/>
        </w:rPr>
        <w:t>B</w:t>
      </w:r>
      <w:r w:rsidR="00094844" w:rsidRPr="00FB212A">
        <w:rPr>
          <w:rFonts w:eastAsia="Times New Roman" w:cstheme="minorHAnsi"/>
        </w:rPr>
        <w:t>ob</w:t>
      </w:r>
      <w:r w:rsidR="00002510" w:rsidRPr="00FB212A">
        <w:rPr>
          <w:rFonts w:eastAsia="Times New Roman" w:cstheme="minorHAnsi"/>
        </w:rPr>
        <w:t xml:space="preserve"> and his CFP® planner have </w:t>
      </w:r>
      <w:r w:rsidR="00067CC6">
        <w:rPr>
          <w:rFonts w:eastAsia="Times New Roman" w:cstheme="minorHAnsi"/>
        </w:rPr>
        <w:t>developed</w:t>
      </w:r>
      <w:r w:rsidR="00002510" w:rsidRPr="00FB212A">
        <w:rPr>
          <w:rFonts w:eastAsia="Times New Roman" w:cstheme="minorHAnsi"/>
        </w:rPr>
        <w:t xml:space="preserve"> a strategy for his retirement. Rather than put additional dollars into the NQDC</w:t>
      </w:r>
      <w:r w:rsidRPr="00FB212A">
        <w:rPr>
          <w:rFonts w:eastAsia="Times New Roman" w:cstheme="minorHAnsi"/>
        </w:rPr>
        <w:t>,</w:t>
      </w:r>
      <w:r w:rsidR="00D96630" w:rsidRPr="00FB212A">
        <w:rPr>
          <w:rFonts w:eastAsia="Times New Roman" w:cstheme="minorHAnsi"/>
        </w:rPr>
        <w:t xml:space="preserve"> they decided to </w:t>
      </w:r>
      <w:r w:rsidRPr="00FB212A">
        <w:rPr>
          <w:rFonts w:eastAsia="Times New Roman" w:cstheme="minorHAnsi"/>
        </w:rPr>
        <w:t xml:space="preserve">begin </w:t>
      </w:r>
      <w:r w:rsidR="00D96630" w:rsidRPr="00FB212A">
        <w:rPr>
          <w:rFonts w:eastAsia="Times New Roman" w:cstheme="minorHAnsi"/>
        </w:rPr>
        <w:t xml:space="preserve">funding a Roth plan. </w:t>
      </w:r>
      <w:r w:rsidRPr="00FB212A">
        <w:rPr>
          <w:rFonts w:eastAsia="Times New Roman" w:cstheme="minorHAnsi"/>
        </w:rPr>
        <w:t>With</w:t>
      </w:r>
      <w:r w:rsidR="00D96630" w:rsidRPr="00FB212A">
        <w:rPr>
          <w:rFonts w:eastAsia="Times New Roman" w:cstheme="minorHAnsi"/>
        </w:rPr>
        <w:t xml:space="preserve"> the 401(k), they </w:t>
      </w:r>
      <w:r w:rsidR="00094844" w:rsidRPr="00FB212A">
        <w:rPr>
          <w:rFonts w:eastAsia="Times New Roman" w:cstheme="minorHAnsi"/>
        </w:rPr>
        <w:t>chose</w:t>
      </w:r>
      <w:r w:rsidR="00D96630" w:rsidRPr="00FB212A">
        <w:rPr>
          <w:rFonts w:eastAsia="Times New Roman" w:cstheme="minorHAnsi"/>
        </w:rPr>
        <w:t xml:space="preserve"> to go with the Roth election to have more tax</w:t>
      </w:r>
      <w:r w:rsidR="00094844" w:rsidRPr="00FB212A">
        <w:rPr>
          <w:rFonts w:eastAsia="Times New Roman" w:cstheme="minorHAnsi"/>
        </w:rPr>
        <w:t>-</w:t>
      </w:r>
      <w:r w:rsidR="00D96630" w:rsidRPr="00FB212A">
        <w:rPr>
          <w:rFonts w:eastAsia="Times New Roman" w:cstheme="minorHAnsi"/>
        </w:rPr>
        <w:t>free dollars in retirement.</w:t>
      </w:r>
      <w:r w:rsidR="00D96630" w:rsidRPr="00C154CD">
        <w:rPr>
          <w:rFonts w:eastAsia="Times New Roman" w:cstheme="minorHAnsi"/>
        </w:rPr>
        <w:t xml:space="preserve"> </w:t>
      </w:r>
      <w:r w:rsidR="00002510" w:rsidRPr="00C154CD">
        <w:rPr>
          <w:rFonts w:eastAsia="Times New Roman" w:cstheme="minorHAnsi"/>
        </w:rPr>
        <w:t xml:space="preserve"> </w:t>
      </w:r>
      <w:r w:rsidR="00832FBA" w:rsidRPr="00C154CD">
        <w:rPr>
          <w:rFonts w:eastAsia="Times New Roman" w:cstheme="minorHAnsi"/>
        </w:rPr>
        <w:t xml:space="preserve">   </w:t>
      </w:r>
    </w:p>
    <w:p w14:paraId="412197ED" w14:textId="740B0C7A" w:rsidR="00FB212A" w:rsidRPr="00FB212A" w:rsidRDefault="00216A04" w:rsidP="00FB212A">
      <w:pPr>
        <w:spacing w:after="100" w:afterAutospacing="1" w:line="276" w:lineRule="auto"/>
        <w:rPr>
          <w:rFonts w:eastAsia="Times New Roman" w:cstheme="minorHAnsi"/>
        </w:rPr>
      </w:pPr>
      <w:r>
        <w:rPr>
          <w:noProof/>
        </w:rPr>
        <w:lastRenderedPageBreak/>
        <w:drawing>
          <wp:inline distT="0" distB="0" distL="0" distR="0" wp14:anchorId="00682520" wp14:editId="2DAFD5F3">
            <wp:extent cx="5943600" cy="33693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369310"/>
                    </a:xfrm>
                    <a:prstGeom prst="rect">
                      <a:avLst/>
                    </a:prstGeom>
                    <a:noFill/>
                    <a:ln>
                      <a:noFill/>
                    </a:ln>
                  </pic:spPr>
                </pic:pic>
              </a:graphicData>
            </a:graphic>
          </wp:inline>
        </w:drawing>
      </w:r>
    </w:p>
    <w:p w14:paraId="44D5250E" w14:textId="77777777" w:rsidR="00FB212A" w:rsidRPr="005B2B3A" w:rsidRDefault="00FB212A" w:rsidP="00CD22BD">
      <w:pPr>
        <w:spacing w:after="0" w:line="276" w:lineRule="auto"/>
        <w:rPr>
          <w:rFonts w:eastAsia="Times New Roman" w:cstheme="minorHAnsi"/>
        </w:rPr>
      </w:pPr>
    </w:p>
    <w:p w14:paraId="5C98434E" w14:textId="0BF1F5A8" w:rsidR="00E81BC6" w:rsidRPr="005B2B3A" w:rsidRDefault="00E81BC6" w:rsidP="00CD22BD">
      <w:pPr>
        <w:spacing w:after="0" w:line="276" w:lineRule="auto"/>
        <w:rPr>
          <w:rFonts w:eastAsia="Times New Roman" w:cstheme="minorHAnsi"/>
        </w:rPr>
      </w:pPr>
      <w:r w:rsidRPr="005B2B3A">
        <w:rPr>
          <w:rFonts w:eastAsia="Times New Roman" w:cstheme="minorHAnsi"/>
        </w:rPr>
        <w:t>An executive’s financial position determine</w:t>
      </w:r>
      <w:r w:rsidR="009C4B63" w:rsidRPr="005B2B3A">
        <w:rPr>
          <w:rFonts w:eastAsia="Times New Roman" w:cstheme="minorHAnsi"/>
        </w:rPr>
        <w:t>s</w:t>
      </w:r>
      <w:r w:rsidRPr="005B2B3A">
        <w:rPr>
          <w:rFonts w:eastAsia="Times New Roman" w:cstheme="minorHAnsi"/>
        </w:rPr>
        <w:t xml:space="preserve"> the </w:t>
      </w:r>
      <w:r w:rsidR="00F717CD" w:rsidRPr="005B2B3A">
        <w:rPr>
          <w:rFonts w:eastAsia="Times New Roman" w:cstheme="minorHAnsi"/>
        </w:rPr>
        <w:t>advisability</w:t>
      </w:r>
      <w:r w:rsidRPr="005B2B3A">
        <w:rPr>
          <w:rFonts w:eastAsia="Times New Roman" w:cstheme="minorHAnsi"/>
        </w:rPr>
        <w:t xml:space="preserve"> of his or her participation in </w:t>
      </w:r>
      <w:r w:rsidR="00CD22BD" w:rsidRPr="005B2B3A">
        <w:rPr>
          <w:rFonts w:eastAsia="Times New Roman" w:cstheme="minorHAnsi"/>
        </w:rPr>
        <w:t xml:space="preserve">and application of </w:t>
      </w:r>
      <w:r w:rsidR="004228F4" w:rsidRPr="005B2B3A">
        <w:rPr>
          <w:rFonts w:eastAsia="Times New Roman" w:cstheme="minorHAnsi"/>
        </w:rPr>
        <w:t>an</w:t>
      </w:r>
      <w:r w:rsidRPr="005B2B3A">
        <w:rPr>
          <w:rFonts w:eastAsia="Times New Roman" w:cstheme="minorHAnsi"/>
        </w:rPr>
        <w:t xml:space="preserve"> </w:t>
      </w:r>
      <w:r w:rsidR="00CD22BD" w:rsidRPr="005B2B3A">
        <w:rPr>
          <w:rFonts w:eastAsia="Times New Roman" w:cstheme="minorHAnsi"/>
        </w:rPr>
        <w:t>exit</w:t>
      </w:r>
      <w:r w:rsidR="00636491" w:rsidRPr="005B2B3A">
        <w:rPr>
          <w:rFonts w:eastAsia="Times New Roman" w:cstheme="minorHAnsi"/>
        </w:rPr>
        <w:t xml:space="preserve"> </w:t>
      </w:r>
      <w:r w:rsidR="00CD22BD" w:rsidRPr="005B2B3A">
        <w:rPr>
          <w:rFonts w:eastAsia="Times New Roman" w:cstheme="minorHAnsi"/>
        </w:rPr>
        <w:t>strategy</w:t>
      </w:r>
      <w:r w:rsidRPr="005B2B3A">
        <w:rPr>
          <w:rFonts w:eastAsia="Times New Roman" w:cstheme="minorHAnsi"/>
        </w:rPr>
        <w:t xml:space="preserve">. </w:t>
      </w:r>
      <w:r w:rsidR="004E132D">
        <w:rPr>
          <w:rFonts w:eastAsia="Times New Roman" w:cstheme="minorHAnsi"/>
        </w:rPr>
        <w:t xml:space="preserve"> The Exit Strategy </w:t>
      </w:r>
      <w:r w:rsidR="00094844" w:rsidRPr="005B2B3A">
        <w:rPr>
          <w:rFonts w:eastAsia="Times New Roman" w:cstheme="minorHAnsi"/>
        </w:rPr>
        <w:t>can</w:t>
      </w:r>
      <w:r w:rsidR="00636491" w:rsidRPr="005B2B3A">
        <w:rPr>
          <w:rFonts w:eastAsia="Times New Roman" w:cstheme="minorHAnsi"/>
        </w:rPr>
        <w:t xml:space="preserve"> </w:t>
      </w:r>
      <w:r w:rsidR="004E132D">
        <w:rPr>
          <w:rFonts w:eastAsia="Times New Roman" w:cstheme="minorHAnsi"/>
        </w:rPr>
        <w:t xml:space="preserve">be </w:t>
      </w:r>
      <w:r w:rsidR="00636491" w:rsidRPr="005B2B3A">
        <w:rPr>
          <w:rFonts w:eastAsia="Times New Roman" w:cstheme="minorHAnsi"/>
        </w:rPr>
        <w:t>customize</w:t>
      </w:r>
      <w:r w:rsidR="004E132D">
        <w:rPr>
          <w:rFonts w:eastAsia="Times New Roman" w:cstheme="minorHAnsi"/>
        </w:rPr>
        <w:t>d</w:t>
      </w:r>
      <w:r w:rsidR="00636491" w:rsidRPr="005B2B3A">
        <w:rPr>
          <w:rFonts w:eastAsia="Times New Roman" w:cstheme="minorHAnsi"/>
        </w:rPr>
        <w:t xml:space="preserve"> to meet the executive</w:t>
      </w:r>
      <w:r w:rsidR="00297ABC" w:rsidRPr="005B2B3A">
        <w:rPr>
          <w:rFonts w:eastAsia="Times New Roman" w:cstheme="minorHAnsi"/>
        </w:rPr>
        <w:t>’</w:t>
      </w:r>
      <w:r w:rsidR="00636491" w:rsidRPr="005B2B3A">
        <w:rPr>
          <w:rFonts w:eastAsia="Times New Roman" w:cstheme="minorHAnsi"/>
        </w:rPr>
        <w:t>s personal goals</w:t>
      </w:r>
      <w:r w:rsidR="00D96630" w:rsidRPr="005B2B3A">
        <w:rPr>
          <w:rFonts w:eastAsia="Times New Roman" w:cstheme="minorHAnsi"/>
        </w:rPr>
        <w:t xml:space="preserve"> for retirement</w:t>
      </w:r>
      <w:r w:rsidR="00636491" w:rsidRPr="005B2B3A">
        <w:rPr>
          <w:rFonts w:eastAsia="Times New Roman" w:cstheme="minorHAnsi"/>
        </w:rPr>
        <w:t xml:space="preserve">. Executives </w:t>
      </w:r>
      <w:r w:rsidRPr="005B2B3A">
        <w:rPr>
          <w:rFonts w:eastAsia="Times New Roman" w:cstheme="minorHAnsi"/>
        </w:rPr>
        <w:t>often designate these income sources as eligible for a possible ex</w:t>
      </w:r>
      <w:r w:rsidR="00636491" w:rsidRPr="005B2B3A">
        <w:rPr>
          <w:rFonts w:eastAsia="Times New Roman" w:cstheme="minorHAnsi"/>
        </w:rPr>
        <w:t>it from</w:t>
      </w:r>
      <w:r w:rsidRPr="005B2B3A">
        <w:rPr>
          <w:rFonts w:eastAsia="Times New Roman" w:cstheme="minorHAnsi"/>
        </w:rPr>
        <w:t xml:space="preserve">: </w:t>
      </w:r>
    </w:p>
    <w:p w14:paraId="585AFEC5" w14:textId="4225262D" w:rsidR="00E81BC6" w:rsidRPr="005B2B3A" w:rsidRDefault="00E81BC6" w:rsidP="00CD22BD">
      <w:pPr>
        <w:numPr>
          <w:ilvl w:val="0"/>
          <w:numId w:val="15"/>
        </w:numPr>
        <w:spacing w:after="0" w:line="240" w:lineRule="auto"/>
        <w:rPr>
          <w:rFonts w:eastAsia="Times New Roman" w:cstheme="minorHAnsi"/>
        </w:rPr>
      </w:pPr>
      <w:r w:rsidRPr="005B2B3A">
        <w:rPr>
          <w:rFonts w:eastAsia="Times New Roman" w:cstheme="minorHAnsi"/>
        </w:rPr>
        <w:t xml:space="preserve">Deferred compensation balances </w:t>
      </w:r>
    </w:p>
    <w:p w14:paraId="35ECB9F0" w14:textId="0DE1894C" w:rsidR="00E81BC6" w:rsidRPr="005B2B3A" w:rsidRDefault="00E81BC6" w:rsidP="00CD22BD">
      <w:pPr>
        <w:numPr>
          <w:ilvl w:val="0"/>
          <w:numId w:val="15"/>
        </w:numPr>
        <w:spacing w:after="100" w:afterAutospacing="1" w:line="276" w:lineRule="auto"/>
        <w:rPr>
          <w:rFonts w:eastAsia="Times New Roman" w:cstheme="minorHAnsi"/>
        </w:rPr>
      </w:pPr>
      <w:r w:rsidRPr="005B2B3A">
        <w:rPr>
          <w:rFonts w:eastAsia="Times New Roman" w:cstheme="minorHAnsi"/>
        </w:rPr>
        <w:t>Accrued SERP pension benefit obligations</w:t>
      </w:r>
    </w:p>
    <w:p w14:paraId="55A5F504" w14:textId="205CDF02" w:rsidR="00E81BC6" w:rsidRPr="005B2B3A" w:rsidRDefault="00E81BC6" w:rsidP="00CD22BD">
      <w:pPr>
        <w:numPr>
          <w:ilvl w:val="0"/>
          <w:numId w:val="15"/>
        </w:numPr>
        <w:spacing w:after="100" w:afterAutospacing="1" w:line="276" w:lineRule="auto"/>
        <w:rPr>
          <w:rFonts w:eastAsia="Times New Roman" w:cstheme="minorHAnsi"/>
        </w:rPr>
      </w:pPr>
      <w:r w:rsidRPr="005B2B3A">
        <w:rPr>
          <w:rFonts w:eastAsia="Times New Roman" w:cstheme="minorHAnsi"/>
        </w:rPr>
        <w:t xml:space="preserve">Stock option gains and restricted stock </w:t>
      </w:r>
    </w:p>
    <w:p w14:paraId="5F41C98A" w14:textId="77777777" w:rsidR="007D0457" w:rsidRPr="005B2B3A" w:rsidRDefault="00636491" w:rsidP="007D0457">
      <w:pPr>
        <w:numPr>
          <w:ilvl w:val="0"/>
          <w:numId w:val="15"/>
        </w:numPr>
        <w:spacing w:after="0" w:line="240" w:lineRule="auto"/>
        <w:rPr>
          <w:rFonts w:eastAsia="Times New Roman" w:cstheme="minorHAnsi"/>
        </w:rPr>
      </w:pPr>
      <w:r w:rsidRPr="005B2B3A">
        <w:rPr>
          <w:rFonts w:eastAsia="Times New Roman" w:cstheme="minorHAnsi"/>
        </w:rPr>
        <w:t>Distributions from 457(b) and 457(f) plans</w:t>
      </w:r>
    </w:p>
    <w:p w14:paraId="5AB58992" w14:textId="2D318180" w:rsidR="00E81BC6" w:rsidRPr="005B2B3A" w:rsidRDefault="00E81BC6" w:rsidP="007D0457">
      <w:pPr>
        <w:spacing w:after="0" w:line="240" w:lineRule="auto"/>
        <w:ind w:left="720"/>
        <w:rPr>
          <w:rFonts w:eastAsia="Times New Roman" w:cstheme="minorHAnsi"/>
        </w:rPr>
      </w:pPr>
      <w:r w:rsidRPr="005B2B3A">
        <w:rPr>
          <w:rFonts w:eastAsia="Times New Roman" w:cstheme="minorHAnsi"/>
        </w:rPr>
        <w:t xml:space="preserve"> </w:t>
      </w:r>
    </w:p>
    <w:p w14:paraId="11D03661" w14:textId="275E9CD9" w:rsidR="00D96630" w:rsidRPr="00CD22BD" w:rsidRDefault="00D96630" w:rsidP="007D0457">
      <w:pPr>
        <w:spacing w:after="0" w:line="240" w:lineRule="auto"/>
        <w:rPr>
          <w:rFonts w:eastAsia="Times New Roman" w:cstheme="minorHAnsi"/>
        </w:rPr>
      </w:pPr>
      <w:r w:rsidRPr="005B2B3A">
        <w:rPr>
          <w:rFonts w:eastAsia="Times New Roman" w:cstheme="minorHAnsi"/>
        </w:rPr>
        <w:t>Some executives use this strategy for wealth transfer, which we will discuss later.</w:t>
      </w:r>
      <w:r w:rsidRPr="00CD22BD">
        <w:rPr>
          <w:rFonts w:eastAsia="Times New Roman" w:cstheme="minorHAnsi"/>
        </w:rPr>
        <w:t xml:space="preserve"> </w:t>
      </w:r>
    </w:p>
    <w:p w14:paraId="4B51971A" w14:textId="77777777" w:rsidR="009C4B63" w:rsidRDefault="009C4B63" w:rsidP="00D96630">
      <w:pPr>
        <w:spacing w:after="100" w:afterAutospacing="1" w:line="240" w:lineRule="auto"/>
        <w:rPr>
          <w:rFonts w:ascii="Arial Black" w:eastAsia="Times New Roman" w:hAnsi="Arial Black" w:cstheme="minorHAnsi"/>
          <w:b/>
          <w:bCs/>
          <w:sz w:val="20"/>
          <w:szCs w:val="20"/>
        </w:rPr>
      </w:pPr>
    </w:p>
    <w:p w14:paraId="73B40A38" w14:textId="7104417F" w:rsidR="00D96630" w:rsidRPr="00CD22BD" w:rsidRDefault="00CD22BD" w:rsidP="00D96630">
      <w:pPr>
        <w:spacing w:after="100" w:afterAutospacing="1" w:line="240" w:lineRule="auto"/>
        <w:rPr>
          <w:rFonts w:ascii="Arial Black" w:eastAsia="Times New Roman" w:hAnsi="Arial Black" w:cstheme="minorHAnsi"/>
          <w:sz w:val="20"/>
          <w:szCs w:val="20"/>
        </w:rPr>
      </w:pPr>
      <w:r w:rsidRPr="00CD22BD">
        <w:rPr>
          <w:rFonts w:ascii="Arial Black" w:eastAsia="Times New Roman" w:hAnsi="Arial Black" w:cstheme="minorHAnsi"/>
          <w:b/>
          <w:bCs/>
          <w:sz w:val="20"/>
          <w:szCs w:val="20"/>
        </w:rPr>
        <w:t xml:space="preserve">The Plan Mechanics </w:t>
      </w:r>
    </w:p>
    <w:p w14:paraId="0B493F97" w14:textId="0B26C180" w:rsidR="003F40B7" w:rsidRDefault="00636491" w:rsidP="00CD22BD">
      <w:pPr>
        <w:spacing w:after="100" w:afterAutospacing="1" w:line="276" w:lineRule="auto"/>
        <w:rPr>
          <w:rFonts w:eastAsia="Times New Roman" w:cstheme="minorHAnsi"/>
        </w:rPr>
      </w:pPr>
      <w:r w:rsidRPr="00CD22BD">
        <w:rPr>
          <w:rFonts w:eastAsia="Times New Roman" w:cstheme="minorHAnsi"/>
        </w:rPr>
        <w:t xml:space="preserve">The NQDC </w:t>
      </w:r>
      <w:r w:rsidR="002D0363">
        <w:rPr>
          <w:rFonts w:eastAsia="Times New Roman" w:cstheme="minorHAnsi"/>
        </w:rPr>
        <w:t>Exit Strategy</w:t>
      </w:r>
      <w:r w:rsidRPr="00CD22BD">
        <w:rPr>
          <w:rFonts w:eastAsia="Times New Roman" w:cstheme="minorHAnsi"/>
        </w:rPr>
        <w:t xml:space="preserve"> </w:t>
      </w:r>
      <w:r w:rsidR="00094844">
        <w:rPr>
          <w:rFonts w:eastAsia="Times New Roman" w:cstheme="minorHAnsi"/>
        </w:rPr>
        <w:t>begins</w:t>
      </w:r>
      <w:r w:rsidRPr="00CD22BD">
        <w:rPr>
          <w:rFonts w:eastAsia="Times New Roman" w:cstheme="minorHAnsi"/>
        </w:rPr>
        <w:t xml:space="preserve"> with the purchase of an Indexed Universal Life (IUL) policy </w:t>
      </w:r>
      <w:r w:rsidR="004E132D">
        <w:rPr>
          <w:rFonts w:eastAsia="Times New Roman" w:cstheme="minorHAnsi"/>
        </w:rPr>
        <w:t xml:space="preserve">or a Variable Universal Life </w:t>
      </w:r>
      <w:r w:rsidR="00067CC6">
        <w:rPr>
          <w:rFonts w:eastAsia="Times New Roman" w:cstheme="minorHAnsi"/>
        </w:rPr>
        <w:t xml:space="preserve">(VUL) </w:t>
      </w:r>
      <w:r w:rsidR="004E132D">
        <w:rPr>
          <w:rFonts w:eastAsia="Times New Roman" w:cstheme="minorHAnsi"/>
        </w:rPr>
        <w:t>policy with Index options</w:t>
      </w:r>
      <w:r w:rsidR="003F40B7">
        <w:rPr>
          <w:rFonts w:eastAsia="Times New Roman" w:cstheme="minorHAnsi"/>
        </w:rPr>
        <w:t xml:space="preserve"> (</w:t>
      </w:r>
      <w:proofErr w:type="gramStart"/>
      <w:r w:rsidR="003F40B7">
        <w:rPr>
          <w:rFonts w:eastAsia="Times New Roman" w:cstheme="minorHAnsi"/>
        </w:rPr>
        <w:t>similar to</w:t>
      </w:r>
      <w:proofErr w:type="gramEnd"/>
      <w:r w:rsidR="003F40B7">
        <w:rPr>
          <w:rFonts w:eastAsia="Times New Roman" w:cstheme="minorHAnsi"/>
        </w:rPr>
        <w:t xml:space="preserve"> those offered in an IUL policy)</w:t>
      </w:r>
      <w:r w:rsidR="004E132D">
        <w:rPr>
          <w:rFonts w:eastAsia="Times New Roman" w:cstheme="minorHAnsi"/>
        </w:rPr>
        <w:t xml:space="preserve">.  The </w:t>
      </w:r>
      <w:r w:rsidR="003F40B7">
        <w:rPr>
          <w:rFonts w:eastAsia="Times New Roman" w:cstheme="minorHAnsi"/>
        </w:rPr>
        <w:t>coverage</w:t>
      </w:r>
      <w:r w:rsidR="004E132D">
        <w:rPr>
          <w:rFonts w:eastAsia="Times New Roman" w:cstheme="minorHAnsi"/>
        </w:rPr>
        <w:t xml:space="preserve"> is </w:t>
      </w:r>
      <w:r w:rsidRPr="00CD22BD">
        <w:rPr>
          <w:rFonts w:eastAsia="Times New Roman" w:cstheme="minorHAnsi"/>
        </w:rPr>
        <w:t>on the executive</w:t>
      </w:r>
      <w:r w:rsidR="00297ABC" w:rsidRPr="00CD22BD">
        <w:rPr>
          <w:rFonts w:eastAsia="Times New Roman" w:cstheme="minorHAnsi"/>
        </w:rPr>
        <w:t>’</w:t>
      </w:r>
      <w:r w:rsidRPr="00CD22BD">
        <w:rPr>
          <w:rFonts w:eastAsia="Times New Roman" w:cstheme="minorHAnsi"/>
        </w:rPr>
        <w:t>s life, or jointly with his/her spouse</w:t>
      </w:r>
      <w:r w:rsidR="003F40B7">
        <w:rPr>
          <w:rFonts w:eastAsia="Times New Roman" w:cstheme="minorHAnsi"/>
        </w:rPr>
        <w:t>, and is purchased now, prior to the lump sum distribution at retirement in order to</w:t>
      </w:r>
      <w:r w:rsidR="003F40B7" w:rsidRPr="00271DC5">
        <w:rPr>
          <w:rFonts w:eastAsia="Times New Roman" w:cstheme="minorHAnsi"/>
          <w:sz w:val="21"/>
          <w:szCs w:val="21"/>
        </w:rPr>
        <w:t xml:space="preserve"> save age on the insurance and have a mature policy in place at the time of the transfer of the NQDC plan money</w:t>
      </w:r>
      <w:r w:rsidR="003F40B7">
        <w:rPr>
          <w:rFonts w:eastAsia="Times New Roman" w:cstheme="minorHAnsi"/>
          <w:sz w:val="21"/>
          <w:szCs w:val="21"/>
        </w:rPr>
        <w:t>.</w:t>
      </w:r>
    </w:p>
    <w:p w14:paraId="4A3FDEC0" w14:textId="61EBF809" w:rsidR="005B2B3A" w:rsidRDefault="00271DC5" w:rsidP="00CD22BD">
      <w:pPr>
        <w:spacing w:after="100" w:afterAutospacing="1" w:line="276" w:lineRule="auto"/>
        <w:rPr>
          <w:rFonts w:eastAsia="Times New Roman" w:cstheme="minorHAnsi"/>
        </w:rPr>
      </w:pPr>
      <w:r w:rsidRPr="00271DC5">
        <w:rPr>
          <w:rFonts w:eastAsia="Times New Roman" w:cstheme="minorHAnsi"/>
          <w:sz w:val="21"/>
          <w:szCs w:val="21"/>
        </w:rPr>
        <w:t xml:space="preserve">To minimize the cost, a bank </w:t>
      </w:r>
      <w:r w:rsidR="00067CC6">
        <w:rPr>
          <w:rFonts w:eastAsia="Times New Roman" w:cstheme="minorHAnsi"/>
          <w:sz w:val="21"/>
          <w:szCs w:val="21"/>
        </w:rPr>
        <w:t xml:space="preserve">is used </w:t>
      </w:r>
      <w:r w:rsidRPr="00271DC5">
        <w:rPr>
          <w:rFonts w:eastAsia="Times New Roman" w:cstheme="minorHAnsi"/>
          <w:sz w:val="21"/>
          <w:szCs w:val="21"/>
        </w:rPr>
        <w:t>to finance the premiums</w:t>
      </w:r>
      <w:r w:rsidR="00067CC6">
        <w:rPr>
          <w:rFonts w:eastAsia="Times New Roman" w:cstheme="minorHAnsi"/>
          <w:sz w:val="21"/>
          <w:szCs w:val="21"/>
        </w:rPr>
        <w:t>.  The premiums</w:t>
      </w:r>
      <w:r w:rsidRPr="00271DC5">
        <w:rPr>
          <w:rFonts w:eastAsia="Times New Roman" w:cstheme="minorHAnsi"/>
          <w:sz w:val="21"/>
          <w:szCs w:val="21"/>
        </w:rPr>
        <w:t xml:space="preserve"> plus accrued interest </w:t>
      </w:r>
      <w:r w:rsidR="00067CC6">
        <w:rPr>
          <w:rFonts w:eastAsia="Times New Roman" w:cstheme="minorHAnsi"/>
          <w:sz w:val="21"/>
          <w:szCs w:val="21"/>
        </w:rPr>
        <w:t xml:space="preserve">will be paid </w:t>
      </w:r>
      <w:r w:rsidRPr="00271DC5">
        <w:rPr>
          <w:rFonts w:eastAsia="Times New Roman" w:cstheme="minorHAnsi"/>
          <w:sz w:val="21"/>
          <w:szCs w:val="21"/>
        </w:rPr>
        <w:t>back in seven years (see chart below)</w:t>
      </w:r>
      <w:r w:rsidR="003F40B7">
        <w:rPr>
          <w:rFonts w:eastAsia="Times New Roman" w:cstheme="minorHAnsi"/>
          <w:sz w:val="21"/>
          <w:szCs w:val="21"/>
        </w:rPr>
        <w:t xml:space="preserve"> using the </w:t>
      </w:r>
      <w:proofErr w:type="gramStart"/>
      <w:r w:rsidR="003F40B7">
        <w:rPr>
          <w:rFonts w:eastAsia="Times New Roman" w:cstheme="minorHAnsi"/>
          <w:sz w:val="21"/>
          <w:szCs w:val="21"/>
        </w:rPr>
        <w:t>after tax</w:t>
      </w:r>
      <w:proofErr w:type="gramEnd"/>
      <w:r w:rsidR="003F40B7">
        <w:rPr>
          <w:rFonts w:eastAsia="Times New Roman" w:cstheme="minorHAnsi"/>
          <w:sz w:val="21"/>
          <w:szCs w:val="21"/>
        </w:rPr>
        <w:t xml:space="preserve"> proceeds from the lump sum distribution.</w:t>
      </w:r>
    </w:p>
    <w:p w14:paraId="67ADB084" w14:textId="6D93F558" w:rsidR="005B2B3A" w:rsidRPr="00271DC5" w:rsidRDefault="00E053A6" w:rsidP="00271DC5">
      <w:pPr>
        <w:spacing w:after="0" w:line="240" w:lineRule="auto"/>
        <w:rPr>
          <w:rFonts w:eastAsia="Times New Roman" w:cstheme="minorHAnsi"/>
          <w:sz w:val="21"/>
          <w:szCs w:val="21"/>
        </w:rPr>
      </w:pPr>
      <w:r>
        <w:rPr>
          <w:noProof/>
        </w:rPr>
        <w:lastRenderedPageBreak/>
        <mc:AlternateContent>
          <mc:Choice Requires="wps">
            <w:drawing>
              <wp:anchor distT="0" distB="0" distL="114300" distR="114300" simplePos="0" relativeHeight="251681792" behindDoc="0" locked="0" layoutInCell="1" allowOverlap="1" wp14:anchorId="6038228F" wp14:editId="45F289AB">
                <wp:simplePos x="0" y="0"/>
                <wp:positionH relativeFrom="column">
                  <wp:posOffset>4787583</wp:posOffset>
                </wp:positionH>
                <wp:positionV relativeFrom="paragraph">
                  <wp:posOffset>3251835</wp:posOffset>
                </wp:positionV>
                <wp:extent cx="627479" cy="280205"/>
                <wp:effectExtent l="0" t="0" r="0" b="0"/>
                <wp:wrapNone/>
                <wp:docPr id="10" name="TextBox 2"/>
                <wp:cNvGraphicFramePr/>
                <a:graphic xmlns:a="http://schemas.openxmlformats.org/drawingml/2006/main">
                  <a:graphicData uri="http://schemas.microsoft.com/office/word/2010/wordprocessingShape">
                    <wps:wsp>
                      <wps:cNvSpPr txBox="1"/>
                      <wps:spPr>
                        <a:xfrm>
                          <a:off x="0" y="0"/>
                          <a:ext cx="627479" cy="28020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3F7513C2" w14:textId="77777777" w:rsidR="00E053A6" w:rsidRPr="0042197D" w:rsidRDefault="00E053A6" w:rsidP="00E053A6">
                            <w:pPr>
                              <w:spacing w:after="0" w:line="240" w:lineRule="auto"/>
                              <w:jc w:val="center"/>
                              <w:rPr>
                                <w:rFonts w:ascii="Arial" w:hAnsi="Arial" w:cs="Arial"/>
                                <w:b/>
                                <w:bCs/>
                              </w:rPr>
                            </w:pPr>
                            <w:r w:rsidRPr="0042197D">
                              <w:rPr>
                                <w:rFonts w:ascii="Arial" w:hAnsi="Arial" w:cs="Arial"/>
                                <w:b/>
                                <w:bCs/>
                                <w:color w:val="000000" w:themeColor="text1"/>
                                <w:sz w:val="10"/>
                                <w:szCs w:val="10"/>
                              </w:rPr>
                              <w:t>Bank Releases</w:t>
                            </w:r>
                          </w:p>
                          <w:p w14:paraId="0983D2B8" w14:textId="1A235551" w:rsidR="00E053A6" w:rsidRPr="0042197D" w:rsidRDefault="00E053A6" w:rsidP="00E053A6">
                            <w:pPr>
                              <w:spacing w:after="0" w:line="240" w:lineRule="auto"/>
                              <w:jc w:val="center"/>
                              <w:rPr>
                                <w:rFonts w:ascii="Arial" w:hAnsi="Arial" w:cs="Arial"/>
                                <w:b/>
                                <w:bCs/>
                                <w:sz w:val="20"/>
                                <w:szCs w:val="20"/>
                              </w:rPr>
                            </w:pPr>
                            <w:r w:rsidRPr="0042197D">
                              <w:rPr>
                                <w:rFonts w:ascii="Arial" w:hAnsi="Arial" w:cs="Arial"/>
                                <w:b/>
                                <w:bCs/>
                                <w:color w:val="000000" w:themeColor="text1"/>
                                <w:sz w:val="10"/>
                                <w:szCs w:val="10"/>
                              </w:rPr>
                              <w:t>Lien on Policy</w:t>
                            </w:r>
                          </w:p>
                        </w:txbxContent>
                      </wps:txbx>
                      <wps:bodyPr vertOverflow="clip" horzOverflow="clip" wrap="none" rtlCol="0" anchor="ctr">
                        <a:spAutoFit/>
                      </wps:bodyPr>
                    </wps:wsp>
                  </a:graphicData>
                </a:graphic>
              </wp:anchor>
            </w:drawing>
          </mc:Choice>
          <mc:Fallback>
            <w:pict>
              <v:shapetype w14:anchorId="6038228F" id="_x0000_t202" coordsize="21600,21600" o:spt="202" path="m,l,21600r21600,l21600,xe">
                <v:stroke joinstyle="miter"/>
                <v:path gradientshapeok="t" o:connecttype="rect"/>
              </v:shapetype>
              <v:shape id="TextBox 2" o:spid="_x0000_s1029" type="#_x0000_t202" style="position:absolute;margin-left:377pt;margin-top:256.05pt;width:49.4pt;height:22.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" fillcolor="white [3212]" stroked="f">
                <v:textbox style="mso-fit-shape-to-text:t">
                  <w:txbxContent>
                    <w:p w14:paraId="3F7513C2" w14:textId="77777777" w:rsidR="00E053A6" w:rsidRPr="0042197D" w:rsidRDefault="00E053A6" w:rsidP="00E053A6">
                      <w:pPr>
                        <w:spacing w:after="0" w:line="240" w:lineRule="auto"/>
                        <w:jc w:val="center"/>
                        <w:rPr>
                          <w:rFonts w:ascii="Arial" w:hAnsi="Arial" w:cs="Arial"/>
                          <w:b/>
                          <w:bCs/>
                        </w:rPr>
                      </w:pPr>
                      <w:r w:rsidRPr="0042197D">
                        <w:rPr>
                          <w:rFonts w:ascii="Arial" w:hAnsi="Arial" w:cs="Arial"/>
                          <w:b/>
                          <w:bCs/>
                          <w:color w:val="000000" w:themeColor="text1"/>
                          <w:sz w:val="10"/>
                          <w:szCs w:val="10"/>
                        </w:rPr>
                        <w:t>Bank Releases</w:t>
                      </w:r>
                    </w:p>
                    <w:p w14:paraId="0983D2B8" w14:textId="1A235551" w:rsidR="00E053A6" w:rsidRPr="0042197D" w:rsidRDefault="00E053A6" w:rsidP="00E053A6">
                      <w:pPr>
                        <w:spacing w:after="0" w:line="240" w:lineRule="auto"/>
                        <w:jc w:val="center"/>
                        <w:rPr>
                          <w:rFonts w:ascii="Arial" w:hAnsi="Arial" w:cs="Arial"/>
                          <w:b/>
                          <w:bCs/>
                          <w:sz w:val="20"/>
                          <w:szCs w:val="20"/>
                        </w:rPr>
                      </w:pPr>
                      <w:r w:rsidRPr="0042197D">
                        <w:rPr>
                          <w:rFonts w:ascii="Arial" w:hAnsi="Arial" w:cs="Arial"/>
                          <w:b/>
                          <w:bCs/>
                          <w:color w:val="000000" w:themeColor="text1"/>
                          <w:sz w:val="10"/>
                          <w:szCs w:val="10"/>
                        </w:rPr>
                        <w:t>Lien on Policy</w:t>
                      </w:r>
                    </w:p>
                  </w:txbxContent>
                </v:textbox>
              </v:shape>
            </w:pict>
          </mc:Fallback>
        </mc:AlternateContent>
      </w:r>
      <w:r w:rsidR="00271DC5" w:rsidRPr="00271DC5">
        <w:rPr>
          <w:noProof/>
          <w:sz w:val="21"/>
          <w:szCs w:val="21"/>
        </w:rPr>
        <w:drawing>
          <wp:anchor distT="0" distB="0" distL="114300" distR="114300" simplePos="0" relativeHeight="251677696" behindDoc="0" locked="0" layoutInCell="1" allowOverlap="1" wp14:anchorId="70716DB8" wp14:editId="44BFFE9F">
            <wp:simplePos x="0" y="0"/>
            <wp:positionH relativeFrom="margin">
              <wp:align>left</wp:align>
            </wp:positionH>
            <wp:positionV relativeFrom="margin">
              <wp:align>top</wp:align>
            </wp:positionV>
            <wp:extent cx="5699760" cy="4152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699760" cy="4152900"/>
                    </a:xfrm>
                    <a:prstGeom prst="rect">
                      <a:avLst/>
                    </a:prstGeom>
                  </pic:spPr>
                </pic:pic>
              </a:graphicData>
            </a:graphic>
            <wp14:sizeRelH relativeFrom="margin">
              <wp14:pctWidth>0</wp14:pctWidth>
            </wp14:sizeRelH>
            <wp14:sizeRelV relativeFrom="margin">
              <wp14:pctHeight>0</wp14:pctHeight>
            </wp14:sizeRelV>
          </wp:anchor>
        </w:drawing>
      </w:r>
    </w:p>
    <w:p w14:paraId="121CAD36" w14:textId="2D346B4F" w:rsidR="00605F9C" w:rsidRDefault="00067CC6" w:rsidP="00271DC5">
      <w:pPr>
        <w:spacing w:after="0" w:line="240" w:lineRule="auto"/>
        <w:rPr>
          <w:rFonts w:eastAsia="Times New Roman" w:cstheme="minorHAnsi"/>
        </w:rPr>
      </w:pPr>
      <w:r>
        <w:rPr>
          <w:rFonts w:eastAsia="Times New Roman" w:cstheme="minorHAnsi"/>
        </w:rPr>
        <w:t>T</w:t>
      </w:r>
      <w:r w:rsidR="00640562">
        <w:rPr>
          <w:rFonts w:eastAsia="Times New Roman" w:cstheme="minorHAnsi"/>
        </w:rPr>
        <w:t>he</w:t>
      </w:r>
      <w:r w:rsidR="00821FDB" w:rsidRPr="00CD22BD">
        <w:rPr>
          <w:rFonts w:eastAsia="Times New Roman" w:cstheme="minorHAnsi"/>
        </w:rPr>
        <w:t xml:space="preserve"> premium for the IUL policy </w:t>
      </w:r>
      <w:r w:rsidR="003F40B7">
        <w:rPr>
          <w:rFonts w:eastAsia="Times New Roman" w:cstheme="minorHAnsi"/>
        </w:rPr>
        <w:t xml:space="preserve">is determined based </w:t>
      </w:r>
      <w:r w:rsidR="00821FDB" w:rsidRPr="00CD22BD">
        <w:rPr>
          <w:rFonts w:eastAsia="Times New Roman" w:cstheme="minorHAnsi"/>
        </w:rPr>
        <w:t>on</w:t>
      </w:r>
      <w:r w:rsidR="008D0796" w:rsidRPr="00CD22BD">
        <w:rPr>
          <w:rFonts w:eastAsia="Times New Roman" w:cstheme="minorHAnsi"/>
        </w:rPr>
        <w:t xml:space="preserve"> </w:t>
      </w:r>
      <w:r w:rsidR="00821FDB" w:rsidRPr="00CD22BD">
        <w:rPr>
          <w:rFonts w:eastAsia="Times New Roman" w:cstheme="minorHAnsi"/>
        </w:rPr>
        <w:t>the projected after-tax distribution the executive will receive in seven years. From our example, Bob will have $4,</w:t>
      </w:r>
      <w:r w:rsidR="00E13E51" w:rsidRPr="00CD22BD">
        <w:rPr>
          <w:rFonts w:eastAsia="Times New Roman" w:cstheme="minorHAnsi"/>
        </w:rPr>
        <w:t>221,301</w:t>
      </w:r>
      <w:r w:rsidR="00605F9C">
        <w:rPr>
          <w:rFonts w:eastAsia="Times New Roman" w:cstheme="minorHAnsi"/>
        </w:rPr>
        <w:t xml:space="preserve"> </w:t>
      </w:r>
      <w:r w:rsidR="00605F9C" w:rsidRPr="005B2B3A">
        <w:rPr>
          <w:rFonts w:eastAsia="Times New Roman" w:cstheme="minorHAnsi"/>
        </w:rPr>
        <w:t>after-tax</w:t>
      </w:r>
      <w:r w:rsidR="00821FDB" w:rsidRPr="005B2B3A">
        <w:rPr>
          <w:rFonts w:eastAsia="Times New Roman" w:cstheme="minorHAnsi"/>
        </w:rPr>
        <w:t>.</w:t>
      </w:r>
      <w:r w:rsidR="008D0796" w:rsidRPr="00CD22BD">
        <w:rPr>
          <w:rFonts w:eastAsia="Times New Roman" w:cstheme="minorHAnsi"/>
        </w:rPr>
        <w:t xml:space="preserve"> </w:t>
      </w:r>
      <w:r w:rsidR="003F40B7">
        <w:rPr>
          <w:rFonts w:eastAsia="Times New Roman" w:cstheme="minorHAnsi"/>
        </w:rPr>
        <w:t xml:space="preserve"> </w:t>
      </w:r>
      <w:proofErr w:type="gramStart"/>
      <w:r w:rsidR="003F40B7">
        <w:rPr>
          <w:rFonts w:eastAsia="Times New Roman" w:cstheme="minorHAnsi"/>
        </w:rPr>
        <w:t>So</w:t>
      </w:r>
      <w:proofErr w:type="gramEnd"/>
      <w:r w:rsidR="003F40B7">
        <w:rPr>
          <w:rFonts w:eastAsia="Times New Roman" w:cstheme="minorHAnsi"/>
        </w:rPr>
        <w:t xml:space="preserve"> w</w:t>
      </w:r>
      <w:r w:rsidR="008D0796" w:rsidRPr="00CD22BD">
        <w:rPr>
          <w:rFonts w:eastAsia="Times New Roman" w:cstheme="minorHAnsi"/>
        </w:rPr>
        <w:t>e want that number to be enough to pay off the premium financing</w:t>
      </w:r>
      <w:r w:rsidR="00605F9C">
        <w:rPr>
          <w:rFonts w:eastAsia="Times New Roman" w:cstheme="minorHAnsi"/>
        </w:rPr>
        <w:t xml:space="preserve"> </w:t>
      </w:r>
      <w:r w:rsidR="00605F9C" w:rsidRPr="005B2B3A">
        <w:rPr>
          <w:rFonts w:eastAsia="Times New Roman" w:cstheme="minorHAnsi"/>
        </w:rPr>
        <w:t>and</w:t>
      </w:r>
      <w:r w:rsidR="00605F9C">
        <w:rPr>
          <w:rFonts w:eastAsia="Times New Roman" w:cstheme="minorHAnsi"/>
        </w:rPr>
        <w:t xml:space="preserve"> </w:t>
      </w:r>
      <w:r w:rsidR="008D0796" w:rsidRPr="00CD22BD">
        <w:rPr>
          <w:rFonts w:eastAsia="Times New Roman" w:cstheme="minorHAnsi"/>
        </w:rPr>
        <w:t>acc</w:t>
      </w:r>
      <w:r w:rsidR="00640562">
        <w:rPr>
          <w:rFonts w:eastAsia="Times New Roman" w:cstheme="minorHAnsi"/>
        </w:rPr>
        <w:t>ru</w:t>
      </w:r>
      <w:r w:rsidR="008D0796" w:rsidRPr="00CD22BD">
        <w:rPr>
          <w:rFonts w:eastAsia="Times New Roman" w:cstheme="minorHAnsi"/>
        </w:rPr>
        <w:t>ed interest. See chart below.</w:t>
      </w:r>
    </w:p>
    <w:p w14:paraId="4982ED6E" w14:textId="77777777" w:rsidR="00271DC5" w:rsidRPr="00CD22BD" w:rsidRDefault="00271DC5" w:rsidP="00271DC5">
      <w:pPr>
        <w:spacing w:after="0" w:line="240" w:lineRule="auto"/>
        <w:rPr>
          <w:rFonts w:eastAsia="Times New Roman" w:cstheme="minorHAnsi"/>
        </w:rPr>
      </w:pPr>
    </w:p>
    <w:p w14:paraId="4A206152" w14:textId="794C0707" w:rsidR="003E5A05" w:rsidRDefault="00AA1B44" w:rsidP="00636491">
      <w:pPr>
        <w:spacing w:after="100" w:afterAutospacing="1" w:line="240" w:lineRule="auto"/>
        <w:rPr>
          <w:rFonts w:eastAsia="Times New Roman" w:cstheme="minorHAnsi"/>
          <w:b/>
          <w:bCs/>
          <w:color w:val="444444"/>
          <w:sz w:val="16"/>
          <w:szCs w:val="16"/>
        </w:rPr>
      </w:pPr>
      <w:r>
        <w:rPr>
          <w:rFonts w:eastAsia="Times New Roman" w:cstheme="minorHAnsi"/>
          <w:b/>
          <w:bCs/>
          <w:color w:val="444444"/>
          <w:sz w:val="16"/>
          <w:szCs w:val="16"/>
        </w:rPr>
        <w:object w:dxaOrig="11460" w:dyaOrig="4636" w14:anchorId="1F572306">
          <v:shape id="_x0000_i1025" type="#_x0000_t75" style="width:479.05pt;height:206.55pt" o:ole="">
            <v:imagedata r:id="rId25" o:title=""/>
          </v:shape>
          <o:OLEObject Type="Embed" ProgID="Excel.Sheet.12" ShapeID="_x0000_i1025" DrawAspect="Content" ObjectID="_1659877653" r:id="rId26"/>
        </w:object>
      </w:r>
    </w:p>
    <w:p w14:paraId="62FDFDED" w14:textId="45CC4FDB" w:rsidR="00297ABC" w:rsidRPr="003E5A05" w:rsidRDefault="004228F4" w:rsidP="00636491">
      <w:pPr>
        <w:spacing w:after="100" w:afterAutospacing="1" w:line="240" w:lineRule="auto"/>
        <w:rPr>
          <w:rFonts w:eastAsia="Times New Roman" w:cstheme="minorHAnsi"/>
          <w:color w:val="444444"/>
          <w:sz w:val="16"/>
          <w:szCs w:val="16"/>
        </w:rPr>
      </w:pPr>
      <w:r>
        <w:rPr>
          <w:rFonts w:eastAsia="Times New Roman" w:cstheme="minorHAnsi"/>
          <w:b/>
          <w:bCs/>
          <w:color w:val="444444"/>
          <w:sz w:val="16"/>
          <w:szCs w:val="16"/>
        </w:rPr>
        <w:t xml:space="preserve">Assumptions: </w:t>
      </w:r>
      <w:r w:rsidRPr="003E5A05">
        <w:rPr>
          <w:sz w:val="16"/>
          <w:szCs w:val="16"/>
        </w:rPr>
        <w:t>Cash value earnings: Indexed to the S&amp;P 500 (excluding dividends), collared with a 9.5% cap and a 1% floor.</w:t>
      </w:r>
      <w:r w:rsidRPr="003E5A05">
        <w:rPr>
          <w:rFonts w:eastAsia="Times New Roman" w:cstheme="minorHAnsi"/>
          <w:color w:val="444444"/>
          <w:sz w:val="16"/>
          <w:szCs w:val="16"/>
        </w:rPr>
        <w:t xml:space="preserve"> Insurance policy crediting rate is assumed to be 6%.</w:t>
      </w:r>
      <w:r w:rsidR="00640562" w:rsidRPr="003E5A05">
        <w:rPr>
          <w:rFonts w:eastAsia="Times New Roman" w:cstheme="minorHAnsi"/>
          <w:color w:val="444444"/>
          <w:sz w:val="16"/>
          <w:szCs w:val="16"/>
        </w:rPr>
        <w:t xml:space="preserve"> Assume the b</w:t>
      </w:r>
      <w:r w:rsidRPr="003E5A05">
        <w:rPr>
          <w:rFonts w:eastAsia="Times New Roman" w:cstheme="minorHAnsi"/>
          <w:color w:val="444444"/>
          <w:sz w:val="16"/>
          <w:szCs w:val="16"/>
        </w:rPr>
        <w:t>ank loan at 4.00%.</w:t>
      </w:r>
    </w:p>
    <w:p w14:paraId="337A848B" w14:textId="77777777" w:rsidR="00301B2A" w:rsidRDefault="00301B2A" w:rsidP="007D0457">
      <w:pPr>
        <w:spacing w:after="100" w:afterAutospacing="1" w:line="276" w:lineRule="auto"/>
        <w:rPr>
          <w:rFonts w:eastAsia="Times New Roman" w:cstheme="minorHAnsi"/>
        </w:rPr>
      </w:pPr>
    </w:p>
    <w:p w14:paraId="7D416720" w14:textId="341731CF" w:rsidR="00951E24" w:rsidRDefault="00C25462" w:rsidP="007D0457">
      <w:pPr>
        <w:spacing w:after="100" w:afterAutospacing="1" w:line="276" w:lineRule="auto"/>
        <w:rPr>
          <w:rFonts w:eastAsia="Times New Roman" w:cstheme="minorHAnsi"/>
        </w:rPr>
      </w:pPr>
      <w:r>
        <w:rPr>
          <w:rFonts w:eastAsia="Times New Roman" w:cstheme="minorHAnsi"/>
        </w:rPr>
        <w:t xml:space="preserve">When </w:t>
      </w:r>
      <w:r w:rsidR="00951E24">
        <w:rPr>
          <w:rFonts w:eastAsia="Times New Roman" w:cstheme="minorHAnsi"/>
        </w:rPr>
        <w:t>Bob’s</w:t>
      </w:r>
      <w:r>
        <w:rPr>
          <w:rFonts w:eastAsia="Times New Roman" w:cstheme="minorHAnsi"/>
        </w:rPr>
        <w:t xml:space="preserve"> Deferred Comp</w:t>
      </w:r>
      <w:r w:rsidR="00951E24">
        <w:rPr>
          <w:rFonts w:eastAsia="Times New Roman" w:cstheme="minorHAnsi"/>
        </w:rPr>
        <w:t>ensation</w:t>
      </w:r>
      <w:r>
        <w:rPr>
          <w:rFonts w:eastAsia="Times New Roman" w:cstheme="minorHAnsi"/>
        </w:rPr>
        <w:t xml:space="preserve"> balance is distributed </w:t>
      </w:r>
      <w:r w:rsidR="00951E24">
        <w:rPr>
          <w:rFonts w:eastAsia="Times New Roman" w:cstheme="minorHAnsi"/>
        </w:rPr>
        <w:t xml:space="preserve">at age 65 </w:t>
      </w:r>
      <w:r>
        <w:rPr>
          <w:rFonts w:eastAsia="Times New Roman" w:cstheme="minorHAnsi"/>
        </w:rPr>
        <w:t>in a lump sum</w:t>
      </w:r>
      <w:r w:rsidR="00951E24">
        <w:rPr>
          <w:rFonts w:eastAsia="Times New Roman" w:cstheme="minorHAnsi"/>
        </w:rPr>
        <w:t>,</w:t>
      </w:r>
      <w:r>
        <w:rPr>
          <w:rFonts w:eastAsia="Times New Roman" w:cstheme="minorHAnsi"/>
        </w:rPr>
        <w:t xml:space="preserve"> the after-tax proceeds are used to liquidate the loan </w:t>
      </w:r>
      <w:r w:rsidR="00951E24">
        <w:rPr>
          <w:rFonts w:eastAsia="Times New Roman" w:cstheme="minorHAnsi"/>
        </w:rPr>
        <w:t xml:space="preserve">taken out </w:t>
      </w:r>
      <w:r>
        <w:rPr>
          <w:rFonts w:eastAsia="Times New Roman" w:cstheme="minorHAnsi"/>
        </w:rPr>
        <w:t>to purchase the policy</w:t>
      </w:r>
      <w:r w:rsidR="00951E24">
        <w:rPr>
          <w:rFonts w:eastAsia="Times New Roman" w:cstheme="minorHAnsi"/>
        </w:rPr>
        <w:t xml:space="preserve">.  He then has </w:t>
      </w:r>
      <w:r w:rsidR="00DC76C5" w:rsidRPr="007D0457">
        <w:rPr>
          <w:rFonts w:eastAsia="Times New Roman" w:cstheme="minorHAnsi"/>
        </w:rPr>
        <w:t xml:space="preserve">full control of the </w:t>
      </w:r>
      <w:r w:rsidR="00951E24">
        <w:rPr>
          <w:rFonts w:eastAsia="Times New Roman" w:cstheme="minorHAnsi"/>
        </w:rPr>
        <w:t xml:space="preserve">unencumbered </w:t>
      </w:r>
      <w:r w:rsidR="00DC76C5" w:rsidRPr="007D0457">
        <w:rPr>
          <w:rFonts w:eastAsia="Times New Roman" w:cstheme="minorHAnsi"/>
        </w:rPr>
        <w:t xml:space="preserve">policy. </w:t>
      </w:r>
      <w:r w:rsidR="00640562">
        <w:rPr>
          <w:rFonts w:eastAsia="Times New Roman" w:cstheme="minorHAnsi"/>
        </w:rPr>
        <w:t>He does not need to conform with</w:t>
      </w:r>
      <w:r w:rsidR="00DC76C5" w:rsidRPr="007D0457">
        <w:rPr>
          <w:rFonts w:eastAsia="Times New Roman" w:cstheme="minorHAnsi"/>
        </w:rPr>
        <w:t xml:space="preserve"> 409A requirements, </w:t>
      </w:r>
      <w:r w:rsidR="007D0457" w:rsidRPr="007D0457">
        <w:rPr>
          <w:rFonts w:eastAsia="Times New Roman" w:cstheme="minorHAnsi"/>
        </w:rPr>
        <w:t>restrictions,</w:t>
      </w:r>
      <w:r w:rsidR="00DC76C5" w:rsidRPr="007D0457">
        <w:rPr>
          <w:rFonts w:eastAsia="Times New Roman" w:cstheme="minorHAnsi"/>
        </w:rPr>
        <w:t xml:space="preserve"> or distribution dates. He has complete flexibility on when and how he </w:t>
      </w:r>
      <w:r w:rsidR="00951E24">
        <w:rPr>
          <w:rFonts w:eastAsia="Times New Roman" w:cstheme="minorHAnsi"/>
        </w:rPr>
        <w:t>withdraws non-taxable cash from the policy.</w:t>
      </w:r>
      <w:r w:rsidR="008D0796" w:rsidRPr="007D0457">
        <w:rPr>
          <w:rFonts w:eastAsia="Times New Roman" w:cstheme="minorHAnsi"/>
        </w:rPr>
        <w:t xml:space="preserve"> This</w:t>
      </w:r>
      <w:r w:rsidR="007D0457">
        <w:rPr>
          <w:rFonts w:eastAsia="Times New Roman" w:cstheme="minorHAnsi"/>
        </w:rPr>
        <w:t xml:space="preserve"> flexibility</w:t>
      </w:r>
      <w:r w:rsidR="008D0796" w:rsidRPr="007D0457">
        <w:rPr>
          <w:rFonts w:eastAsia="Times New Roman" w:cstheme="minorHAnsi"/>
        </w:rPr>
        <w:t xml:space="preserve"> is now a tax</w:t>
      </w:r>
      <w:r w:rsidR="00640562">
        <w:rPr>
          <w:rFonts w:eastAsia="Times New Roman" w:cstheme="minorHAnsi"/>
        </w:rPr>
        <w:t>-</w:t>
      </w:r>
      <w:r w:rsidR="008D0796" w:rsidRPr="007D0457">
        <w:rPr>
          <w:rFonts w:eastAsia="Times New Roman" w:cstheme="minorHAnsi"/>
        </w:rPr>
        <w:t>deferred asset on his personal balance sheet</w:t>
      </w:r>
      <w:r w:rsidR="00951E24">
        <w:rPr>
          <w:rFonts w:eastAsia="Times New Roman" w:cstheme="minorHAnsi"/>
        </w:rPr>
        <w:t>.</w:t>
      </w:r>
    </w:p>
    <w:p w14:paraId="76A9E1D3" w14:textId="32255265" w:rsidR="009C4B63" w:rsidRDefault="00951E24" w:rsidP="007D0457">
      <w:pPr>
        <w:spacing w:after="100" w:afterAutospacing="1" w:line="276" w:lineRule="auto"/>
        <w:rPr>
          <w:rFonts w:eastAsia="Times New Roman" w:cstheme="minorHAnsi"/>
        </w:rPr>
      </w:pPr>
      <w:r>
        <w:rPr>
          <w:rFonts w:eastAsia="Times New Roman" w:cstheme="minorHAnsi"/>
        </w:rPr>
        <w:t xml:space="preserve">In our example, </w:t>
      </w:r>
      <w:r w:rsidR="00924F40" w:rsidRPr="007D0457">
        <w:rPr>
          <w:rFonts w:eastAsia="Times New Roman" w:cstheme="minorHAnsi"/>
        </w:rPr>
        <w:t>Bob, working with his CFP</w:t>
      </w:r>
      <w:r w:rsidR="007D0457">
        <w:rPr>
          <w:rFonts w:eastAsia="Times New Roman" w:cstheme="minorHAnsi"/>
        </w:rPr>
        <w:t>®</w:t>
      </w:r>
      <w:r w:rsidR="00924F40" w:rsidRPr="007D0457">
        <w:rPr>
          <w:rFonts w:eastAsia="Times New Roman" w:cstheme="minorHAnsi"/>
        </w:rPr>
        <w:t xml:space="preserve"> coach</w:t>
      </w:r>
      <w:r w:rsidR="007D0457">
        <w:rPr>
          <w:rFonts w:eastAsia="Times New Roman" w:cstheme="minorHAnsi"/>
        </w:rPr>
        <w:t>,</w:t>
      </w:r>
      <w:r w:rsidR="00924F40" w:rsidRPr="007D0457">
        <w:rPr>
          <w:rFonts w:eastAsia="Times New Roman" w:cstheme="minorHAnsi"/>
        </w:rPr>
        <w:t xml:space="preserve"> anticipate</w:t>
      </w:r>
      <w:r w:rsidR="008D0796" w:rsidRPr="007D0457">
        <w:rPr>
          <w:rFonts w:eastAsia="Times New Roman" w:cstheme="minorHAnsi"/>
        </w:rPr>
        <w:t>s</w:t>
      </w:r>
      <w:r w:rsidR="00924F40" w:rsidRPr="007D0457">
        <w:rPr>
          <w:rFonts w:eastAsia="Times New Roman" w:cstheme="minorHAnsi"/>
        </w:rPr>
        <w:t xml:space="preserve"> taking distribution</w:t>
      </w:r>
      <w:r>
        <w:rPr>
          <w:rFonts w:eastAsia="Times New Roman" w:cstheme="minorHAnsi"/>
        </w:rPr>
        <w:t>s</w:t>
      </w:r>
      <w:r w:rsidR="00924F40" w:rsidRPr="007D0457">
        <w:rPr>
          <w:rFonts w:eastAsia="Times New Roman" w:cstheme="minorHAnsi"/>
        </w:rPr>
        <w:t xml:space="preserve"> </w:t>
      </w:r>
      <w:r>
        <w:rPr>
          <w:rFonts w:eastAsia="Times New Roman" w:cstheme="minorHAnsi"/>
        </w:rPr>
        <w:t xml:space="preserve">beginning </w:t>
      </w:r>
      <w:r w:rsidR="00924F40" w:rsidRPr="007D0457">
        <w:rPr>
          <w:rFonts w:eastAsia="Times New Roman" w:cstheme="minorHAnsi"/>
        </w:rPr>
        <w:t>at age 70</w:t>
      </w:r>
      <w:r>
        <w:rPr>
          <w:rFonts w:eastAsia="Times New Roman" w:cstheme="minorHAnsi"/>
        </w:rPr>
        <w:t xml:space="preserve">, five years after retirement. </w:t>
      </w:r>
      <w:r w:rsidR="00924F40" w:rsidRPr="007D0457">
        <w:rPr>
          <w:rFonts w:eastAsia="Times New Roman" w:cstheme="minorHAnsi"/>
        </w:rPr>
        <w:t xml:space="preserve"> Working with EBS’s administration system</w:t>
      </w:r>
      <w:r w:rsidR="007D0457">
        <w:rPr>
          <w:rFonts w:eastAsia="Times New Roman" w:cstheme="minorHAnsi"/>
        </w:rPr>
        <w:t>,</w:t>
      </w:r>
      <w:r w:rsidR="00924F40" w:rsidRPr="007D0457">
        <w:rPr>
          <w:rFonts w:eastAsia="Times New Roman" w:cstheme="minorHAnsi"/>
        </w:rPr>
        <w:t xml:space="preserve"> Bob starts to make tax-free distributions based on withdrawals up to basis (basis</w:t>
      </w:r>
      <w:r w:rsidR="00640562">
        <w:rPr>
          <w:rFonts w:eastAsia="Times New Roman" w:cstheme="minorHAnsi"/>
        </w:rPr>
        <w:t xml:space="preserve"> means</w:t>
      </w:r>
      <w:r w:rsidR="00924F40" w:rsidRPr="007D0457">
        <w:rPr>
          <w:rFonts w:eastAsia="Times New Roman" w:cstheme="minorHAnsi"/>
        </w:rPr>
        <w:t xml:space="preserve"> premiums) then loans from the policy.</w:t>
      </w:r>
      <w:r w:rsidR="00E85F17" w:rsidRPr="007D0457">
        <w:rPr>
          <w:rFonts w:eastAsia="Times New Roman" w:cstheme="minorHAnsi"/>
        </w:rPr>
        <w:t xml:space="preserve"> Based on an assume</w:t>
      </w:r>
      <w:r w:rsidR="00640562">
        <w:rPr>
          <w:rFonts w:eastAsia="Times New Roman" w:cstheme="minorHAnsi"/>
        </w:rPr>
        <w:t>d</w:t>
      </w:r>
      <w:r w:rsidR="00E85F17" w:rsidRPr="007D0457">
        <w:rPr>
          <w:rFonts w:eastAsia="Times New Roman" w:cstheme="minorHAnsi"/>
        </w:rPr>
        <w:t xml:space="preserve"> earnings rate in the policy of </w:t>
      </w:r>
      <w:r w:rsidR="00640562">
        <w:rPr>
          <w:rFonts w:eastAsia="Times New Roman" w:cstheme="minorHAnsi"/>
        </w:rPr>
        <w:t>six</w:t>
      </w:r>
      <w:r w:rsidR="007D0457">
        <w:rPr>
          <w:rFonts w:eastAsia="Times New Roman" w:cstheme="minorHAnsi"/>
        </w:rPr>
        <w:t xml:space="preserve"> percent</w:t>
      </w:r>
      <w:r w:rsidR="00E85F17" w:rsidRPr="007D0457">
        <w:rPr>
          <w:rFonts w:eastAsia="Times New Roman" w:cstheme="minorHAnsi"/>
        </w:rPr>
        <w:t>, he can take $463,888 per year for 15 years.</w:t>
      </w:r>
      <w:r w:rsidR="003D749D">
        <w:rPr>
          <w:rFonts w:eastAsia="Times New Roman" w:cstheme="minorHAnsi"/>
        </w:rPr>
        <w:t xml:space="preserve"> See chart below.</w:t>
      </w:r>
    </w:p>
    <w:p w14:paraId="4D7CB532" w14:textId="409F3AD7" w:rsidR="00301B2A" w:rsidRPr="007D0457" w:rsidRDefault="007F031A" w:rsidP="007D0457">
      <w:pPr>
        <w:spacing w:after="100" w:afterAutospacing="1" w:line="276" w:lineRule="auto"/>
        <w:rPr>
          <w:rFonts w:eastAsia="Times New Roman" w:cstheme="minorHAnsi"/>
        </w:rPr>
      </w:pPr>
      <w:r>
        <w:rPr>
          <w:rFonts w:eastAsia="Times New Roman" w:cstheme="minorHAnsi"/>
        </w:rPr>
        <w:object w:dxaOrig="11235" w:dyaOrig="7250" w14:anchorId="5F4523DB">
          <v:shape id="_x0000_i1026" type="#_x0000_t75" style="width:458.95pt;height:355.6pt" o:ole="">
            <v:imagedata r:id="rId27" o:title=""/>
          </v:shape>
          <o:OLEObject Type="Embed" ProgID="Excel.Sheet.12" ShapeID="_x0000_i1026" DrawAspect="Content" ObjectID="_1659877654" r:id="rId28"/>
        </w:object>
      </w:r>
    </w:p>
    <w:p w14:paraId="4DFE6D3D" w14:textId="25ED3607" w:rsidR="004228F4" w:rsidRPr="004228F4" w:rsidRDefault="004228F4" w:rsidP="00636491">
      <w:pPr>
        <w:spacing w:after="100" w:afterAutospacing="1" w:line="240" w:lineRule="auto"/>
        <w:rPr>
          <w:rFonts w:eastAsia="Times New Roman" w:cstheme="minorHAnsi"/>
          <w:color w:val="444444"/>
          <w:sz w:val="16"/>
          <w:szCs w:val="16"/>
        </w:rPr>
      </w:pPr>
      <w:r>
        <w:rPr>
          <w:rFonts w:eastAsia="Times New Roman" w:cstheme="minorHAnsi"/>
          <w:b/>
          <w:bCs/>
          <w:color w:val="444444"/>
          <w:sz w:val="16"/>
          <w:szCs w:val="16"/>
        </w:rPr>
        <w:t xml:space="preserve">Assumptions: </w:t>
      </w:r>
      <w:r w:rsidRPr="007F031A">
        <w:rPr>
          <w:sz w:val="16"/>
          <w:szCs w:val="16"/>
        </w:rPr>
        <w:t>Cash value earnings: Indexed to the S&amp;P 500 (excluding dividends), collared with a 9.5% cap</w:t>
      </w:r>
      <w:r w:rsidRPr="007F031A">
        <w:t xml:space="preserve"> </w:t>
      </w:r>
      <w:r w:rsidRPr="007F031A">
        <w:rPr>
          <w:sz w:val="16"/>
          <w:szCs w:val="16"/>
        </w:rPr>
        <w:t>and a 1% floor</w:t>
      </w:r>
      <w:r w:rsidRPr="007F031A">
        <w:t>.</w:t>
      </w:r>
      <w:r w:rsidRPr="007F031A">
        <w:rPr>
          <w:rFonts w:eastAsia="Times New Roman" w:cstheme="minorHAnsi"/>
          <w:color w:val="444444"/>
          <w:sz w:val="16"/>
          <w:szCs w:val="16"/>
        </w:rPr>
        <w:t xml:space="preserve"> Insurance policy crediting rate is assumed to be 6%.</w:t>
      </w:r>
      <w:r w:rsidR="007F031A" w:rsidRPr="007F031A">
        <w:rPr>
          <w:rFonts w:eastAsia="Times New Roman" w:cstheme="minorHAnsi"/>
          <w:color w:val="444444"/>
          <w:sz w:val="16"/>
          <w:szCs w:val="16"/>
        </w:rPr>
        <w:t xml:space="preserve"> For the investment account</w:t>
      </w:r>
      <w:r w:rsidR="007F031A">
        <w:rPr>
          <w:rFonts w:eastAsia="Times New Roman" w:cstheme="minorHAnsi"/>
          <w:color w:val="444444"/>
          <w:sz w:val="16"/>
          <w:szCs w:val="16"/>
        </w:rPr>
        <w:t xml:space="preserve">, </w:t>
      </w:r>
      <w:r w:rsidR="007F031A" w:rsidRPr="007F031A">
        <w:rPr>
          <w:rFonts w:eastAsia="Times New Roman" w:cstheme="minorHAnsi"/>
          <w:color w:val="444444"/>
          <w:sz w:val="16"/>
          <w:szCs w:val="16"/>
        </w:rPr>
        <w:t>assumes pretax investment rate of 5.00%, a blended tax rate of 35.00% and a resulting net after tax investment rate of 3.25%.</w:t>
      </w:r>
    </w:p>
    <w:p w14:paraId="3885AEC7" w14:textId="77777777" w:rsidR="00301B2A" w:rsidRDefault="00301B2A" w:rsidP="007D0457">
      <w:pPr>
        <w:spacing w:after="100" w:afterAutospacing="1" w:line="276" w:lineRule="auto"/>
        <w:rPr>
          <w:rFonts w:eastAsia="Times New Roman" w:cstheme="minorHAnsi"/>
        </w:rPr>
      </w:pPr>
    </w:p>
    <w:p w14:paraId="7AF9D0D5" w14:textId="28DF8CF1" w:rsidR="00297ABC" w:rsidRPr="007D0457" w:rsidRDefault="00CA693B" w:rsidP="007D0457">
      <w:pPr>
        <w:spacing w:after="100" w:afterAutospacing="1" w:line="276" w:lineRule="auto"/>
        <w:rPr>
          <w:rFonts w:eastAsia="Times New Roman" w:cstheme="minorHAnsi"/>
        </w:rPr>
      </w:pPr>
      <w:r w:rsidRPr="00067CC6">
        <w:rPr>
          <w:rFonts w:eastAsia="Times New Roman" w:cstheme="minorHAnsi"/>
        </w:rPr>
        <w:lastRenderedPageBreak/>
        <w:t>A</w:t>
      </w:r>
      <w:r w:rsidR="003F3C5D" w:rsidRPr="00067CC6">
        <w:rPr>
          <w:rFonts w:eastAsia="Times New Roman" w:cstheme="minorHAnsi"/>
        </w:rPr>
        <w:t xml:space="preserve">s you can see from the above chart, the NQDC Exit Strategy produced </w:t>
      </w:r>
      <w:r w:rsidR="003F3C5D" w:rsidRPr="00067CC6">
        <w:rPr>
          <w:rFonts w:eastAsia="Times New Roman" w:cstheme="minorHAnsi"/>
          <w:b/>
          <w:bCs/>
        </w:rPr>
        <w:t>$820,862</w:t>
      </w:r>
      <w:r w:rsidR="003F3C5D" w:rsidRPr="00067CC6">
        <w:rPr>
          <w:rFonts w:eastAsia="Times New Roman" w:cstheme="minorHAnsi"/>
        </w:rPr>
        <w:t xml:space="preserve"> more income over the 15-year period</w:t>
      </w:r>
      <w:r w:rsidR="00E85F17" w:rsidRPr="00067CC6">
        <w:rPr>
          <w:rFonts w:eastAsia="Times New Roman" w:cstheme="minorHAnsi"/>
        </w:rPr>
        <w:t xml:space="preserve"> ($6,958,323 vs. $6,137,461)</w:t>
      </w:r>
      <w:r w:rsidR="003F3C5D" w:rsidRPr="00067CC6">
        <w:rPr>
          <w:rFonts w:eastAsia="Times New Roman" w:cstheme="minorHAnsi"/>
        </w:rPr>
        <w:t xml:space="preserve">. In </w:t>
      </w:r>
      <w:r w:rsidR="004228F4" w:rsidRPr="00067CC6">
        <w:rPr>
          <w:rFonts w:eastAsia="Times New Roman" w:cstheme="minorHAnsi"/>
        </w:rPr>
        <w:t>addition,</w:t>
      </w:r>
      <w:r w:rsidR="003F3C5D" w:rsidRPr="00067CC6">
        <w:rPr>
          <w:rFonts w:eastAsia="Times New Roman" w:cstheme="minorHAnsi"/>
        </w:rPr>
        <w:t xml:space="preserve"> </w:t>
      </w:r>
      <w:r w:rsidR="007D0457" w:rsidRPr="00067CC6">
        <w:rPr>
          <w:rFonts w:eastAsia="Times New Roman" w:cstheme="minorHAnsi"/>
        </w:rPr>
        <w:t>Bob</w:t>
      </w:r>
      <w:r w:rsidR="003F3C5D" w:rsidRPr="00067CC6">
        <w:rPr>
          <w:rFonts w:eastAsia="Times New Roman" w:cstheme="minorHAnsi"/>
        </w:rPr>
        <w:t xml:space="preserve"> has a death benefit of over $400,000</w:t>
      </w:r>
      <w:r w:rsidR="00640562" w:rsidRPr="00067CC6">
        <w:rPr>
          <w:rFonts w:eastAsia="Times New Roman" w:cstheme="minorHAnsi"/>
        </w:rPr>
        <w:t xml:space="preserve"> </w:t>
      </w:r>
      <w:r w:rsidR="00067CC6" w:rsidRPr="00067CC6">
        <w:rPr>
          <w:rFonts w:eastAsia="Times New Roman" w:cstheme="minorHAnsi"/>
        </w:rPr>
        <w:t xml:space="preserve">payable to his </w:t>
      </w:r>
      <w:r w:rsidR="003F3C5D" w:rsidRPr="00067CC6">
        <w:rPr>
          <w:rFonts w:eastAsia="Times New Roman" w:cstheme="minorHAnsi"/>
        </w:rPr>
        <w:t>beneficiaries</w:t>
      </w:r>
      <w:r w:rsidR="00067CC6" w:rsidRPr="00067CC6">
        <w:rPr>
          <w:rFonts w:eastAsia="Times New Roman" w:cstheme="minorHAnsi"/>
        </w:rPr>
        <w:t xml:space="preserve"> if death occurs at age 85</w:t>
      </w:r>
      <w:r w:rsidR="003F3C5D" w:rsidRPr="00067CC6">
        <w:rPr>
          <w:rFonts w:eastAsia="Times New Roman" w:cstheme="minorHAnsi"/>
        </w:rPr>
        <w:t xml:space="preserve">. </w:t>
      </w:r>
      <w:r w:rsidR="00067CC6" w:rsidRPr="00067CC6">
        <w:rPr>
          <w:rFonts w:eastAsia="Times New Roman" w:cstheme="minorHAnsi"/>
        </w:rPr>
        <w:t xml:space="preserve"> The projected results for the Personal Investments </w:t>
      </w:r>
      <w:proofErr w:type="gramStart"/>
      <w:r w:rsidR="00067CC6" w:rsidRPr="00067CC6">
        <w:rPr>
          <w:rFonts w:eastAsia="Times New Roman" w:cstheme="minorHAnsi"/>
        </w:rPr>
        <w:t>is</w:t>
      </w:r>
      <w:proofErr w:type="gramEnd"/>
      <w:r w:rsidR="00067CC6" w:rsidRPr="00067CC6">
        <w:rPr>
          <w:rFonts w:eastAsia="Times New Roman" w:cstheme="minorHAnsi"/>
        </w:rPr>
        <w:t xml:space="preserve"> based on current tax rate assumptions - i</w:t>
      </w:r>
      <w:r w:rsidR="00E85F17" w:rsidRPr="00067CC6">
        <w:rPr>
          <w:rFonts w:eastAsia="Times New Roman" w:cstheme="minorHAnsi"/>
        </w:rPr>
        <w:t>f tax rates go up, the gains would be larger for the NQDC Exit Strategy.</w:t>
      </w:r>
      <w:r w:rsidR="00E85F17" w:rsidRPr="007D0457">
        <w:rPr>
          <w:rFonts w:eastAsia="Times New Roman" w:cstheme="minorHAnsi"/>
        </w:rPr>
        <w:t xml:space="preserve"> </w:t>
      </w:r>
      <w:r w:rsidR="003F3C5D" w:rsidRPr="007D0457">
        <w:rPr>
          <w:rFonts w:eastAsia="Times New Roman" w:cstheme="minorHAnsi"/>
        </w:rPr>
        <w:t xml:space="preserve"> </w:t>
      </w:r>
    </w:p>
    <w:p w14:paraId="5ACDC75B" w14:textId="669751C2" w:rsidR="002D0DA0" w:rsidRPr="00472F7D" w:rsidRDefault="00301B2A" w:rsidP="00636491">
      <w:pPr>
        <w:spacing w:after="100" w:afterAutospacing="1" w:line="240" w:lineRule="auto"/>
        <w:rPr>
          <w:rFonts w:ascii="Arial Black" w:eastAsia="Times New Roman" w:hAnsi="Arial Black" w:cstheme="minorHAnsi"/>
          <w:b/>
          <w:bCs/>
        </w:rPr>
      </w:pPr>
      <w:r>
        <w:rPr>
          <w:rFonts w:ascii="Arial Black" w:eastAsia="Times New Roman" w:hAnsi="Arial Black" w:cstheme="minorHAnsi"/>
          <w:b/>
          <w:bCs/>
        </w:rPr>
        <w:t xml:space="preserve">The </w:t>
      </w:r>
      <w:r w:rsidR="002D0DA0" w:rsidRPr="00472F7D">
        <w:rPr>
          <w:rFonts w:ascii="Arial Black" w:eastAsia="Times New Roman" w:hAnsi="Arial Black" w:cstheme="minorHAnsi"/>
          <w:b/>
          <w:bCs/>
        </w:rPr>
        <w:t>NQDC Exit Strategy for Wealth Transfer</w:t>
      </w:r>
    </w:p>
    <w:p w14:paraId="06ABDD6B" w14:textId="3F98F947" w:rsidR="004228F4" w:rsidRPr="007D0457" w:rsidRDefault="004228F4" w:rsidP="007D0457">
      <w:pPr>
        <w:spacing w:after="100" w:afterAutospacing="1" w:line="276" w:lineRule="auto"/>
        <w:rPr>
          <w:rFonts w:eastAsia="Times New Roman" w:cstheme="minorHAnsi"/>
        </w:rPr>
      </w:pPr>
      <w:r w:rsidRPr="007D0457">
        <w:rPr>
          <w:rFonts w:eastAsia="Times New Roman" w:cstheme="minorHAnsi"/>
        </w:rPr>
        <w:t>Some executives have done a</w:t>
      </w:r>
      <w:r w:rsidR="007D0457">
        <w:rPr>
          <w:rFonts w:eastAsia="Times New Roman" w:cstheme="minorHAnsi"/>
        </w:rPr>
        <w:t>n e</w:t>
      </w:r>
      <w:r w:rsidR="00640562">
        <w:rPr>
          <w:rFonts w:eastAsia="Times New Roman" w:cstheme="minorHAnsi"/>
        </w:rPr>
        <w:t>xcellent</w:t>
      </w:r>
      <w:r w:rsidRPr="007D0457">
        <w:rPr>
          <w:rFonts w:eastAsia="Times New Roman" w:cstheme="minorHAnsi"/>
        </w:rPr>
        <w:t xml:space="preserve"> job planning for retirement, and do</w:t>
      </w:r>
      <w:r w:rsidR="007D0457">
        <w:rPr>
          <w:rFonts w:eastAsia="Times New Roman" w:cstheme="minorHAnsi"/>
        </w:rPr>
        <w:t xml:space="preserve"> not </w:t>
      </w:r>
      <w:r w:rsidRPr="007D0457">
        <w:rPr>
          <w:rFonts w:eastAsia="Times New Roman" w:cstheme="minorHAnsi"/>
        </w:rPr>
        <w:t xml:space="preserve">need to draw down a steady </w:t>
      </w:r>
      <w:r w:rsidR="00A64BE0" w:rsidRPr="007D0457">
        <w:rPr>
          <w:rFonts w:eastAsia="Times New Roman" w:cstheme="minorHAnsi"/>
        </w:rPr>
        <w:t xml:space="preserve">stream of income from the NQDC Exit Strategy. They may be interested in keeping the death benefit as high as possible, using the </w:t>
      </w:r>
      <w:r w:rsidR="007412EF">
        <w:rPr>
          <w:rFonts w:eastAsia="Times New Roman" w:cstheme="minorHAnsi"/>
        </w:rPr>
        <w:t xml:space="preserve">tax-deferred growth of cash value to generate an increasing death benefit.  </w:t>
      </w:r>
      <w:r w:rsidR="002D0DA0" w:rsidRPr="007D0457">
        <w:rPr>
          <w:rFonts w:eastAsia="Times New Roman" w:cstheme="minorHAnsi"/>
        </w:rPr>
        <w:t>They also may be interested in using the policy for it</w:t>
      </w:r>
      <w:r w:rsidR="007D0457">
        <w:rPr>
          <w:rFonts w:eastAsia="Times New Roman" w:cstheme="minorHAnsi"/>
        </w:rPr>
        <w:t>s</w:t>
      </w:r>
      <w:r w:rsidR="002D0DA0" w:rsidRPr="007D0457">
        <w:rPr>
          <w:rFonts w:eastAsia="Times New Roman" w:cstheme="minorHAnsi"/>
        </w:rPr>
        <w:t xml:space="preserve"> death benefit in estate plannin</w:t>
      </w:r>
      <w:r w:rsidR="00067CC6">
        <w:rPr>
          <w:rFonts w:eastAsia="Times New Roman" w:cstheme="minorHAnsi"/>
        </w:rPr>
        <w:t>g</w:t>
      </w:r>
      <w:r w:rsidR="007412EF">
        <w:rPr>
          <w:rFonts w:eastAsia="Times New Roman" w:cstheme="minorHAnsi"/>
        </w:rPr>
        <w:t xml:space="preserve"> and could transfer the policy to an irrevocable trust that</w:t>
      </w:r>
      <w:r w:rsidR="00067CC6">
        <w:rPr>
          <w:rFonts w:eastAsia="Times New Roman" w:cstheme="minorHAnsi"/>
        </w:rPr>
        <w:t xml:space="preserve"> would</w:t>
      </w:r>
      <w:r w:rsidR="007412EF">
        <w:rPr>
          <w:rFonts w:eastAsia="Times New Roman" w:cstheme="minorHAnsi"/>
        </w:rPr>
        <w:t xml:space="preserve"> be exempt from taxation upon their death.</w:t>
      </w:r>
    </w:p>
    <w:p w14:paraId="44ED7476" w14:textId="6FD67510" w:rsidR="00A64BE0" w:rsidRDefault="00A64BE0" w:rsidP="007D0457">
      <w:pPr>
        <w:spacing w:after="100" w:afterAutospacing="1" w:line="276" w:lineRule="auto"/>
        <w:rPr>
          <w:rFonts w:eastAsia="Times New Roman" w:cstheme="minorHAnsi"/>
        </w:rPr>
      </w:pPr>
      <w:r w:rsidRPr="007D0457">
        <w:rPr>
          <w:rFonts w:eastAsia="Times New Roman" w:cstheme="minorHAnsi"/>
        </w:rPr>
        <w:t>If Bob decides to do that, the following chart illustrate</w:t>
      </w:r>
      <w:r w:rsidR="007412EF">
        <w:rPr>
          <w:rFonts w:eastAsia="Times New Roman" w:cstheme="minorHAnsi"/>
        </w:rPr>
        <w:t>s</w:t>
      </w:r>
      <w:r w:rsidRPr="007D0457">
        <w:rPr>
          <w:rFonts w:eastAsia="Times New Roman" w:cstheme="minorHAnsi"/>
        </w:rPr>
        <w:t xml:space="preserve"> his p</w:t>
      </w:r>
      <w:r w:rsidR="007412EF">
        <w:rPr>
          <w:rFonts w:eastAsia="Times New Roman" w:cstheme="minorHAnsi"/>
        </w:rPr>
        <w:t>rojected</w:t>
      </w:r>
      <w:r w:rsidRPr="007D0457">
        <w:rPr>
          <w:rFonts w:eastAsia="Times New Roman" w:cstheme="minorHAnsi"/>
        </w:rPr>
        <w:t xml:space="preserve"> </w:t>
      </w:r>
      <w:r w:rsidR="008C3390">
        <w:rPr>
          <w:rFonts w:eastAsia="Times New Roman" w:cstheme="minorHAnsi"/>
        </w:rPr>
        <w:t xml:space="preserve">insurance </w:t>
      </w:r>
      <w:r w:rsidRPr="007D0457">
        <w:rPr>
          <w:rFonts w:eastAsia="Times New Roman" w:cstheme="minorHAnsi"/>
        </w:rPr>
        <w:t xml:space="preserve">death benefit compared </w:t>
      </w:r>
      <w:r w:rsidR="007412EF">
        <w:rPr>
          <w:rFonts w:eastAsia="Times New Roman" w:cstheme="minorHAnsi"/>
        </w:rPr>
        <w:t xml:space="preserve">to what </w:t>
      </w:r>
      <w:r w:rsidR="008C3390">
        <w:rPr>
          <w:rFonts w:eastAsia="Times New Roman" w:cstheme="minorHAnsi"/>
        </w:rPr>
        <w:t>the</w:t>
      </w:r>
      <w:r w:rsidR="007412EF">
        <w:rPr>
          <w:rFonts w:eastAsia="Times New Roman" w:cstheme="minorHAnsi"/>
        </w:rPr>
        <w:t xml:space="preserve"> </w:t>
      </w:r>
      <w:proofErr w:type="gramStart"/>
      <w:r w:rsidR="007412EF">
        <w:rPr>
          <w:rFonts w:eastAsia="Times New Roman" w:cstheme="minorHAnsi"/>
        </w:rPr>
        <w:t>after tax</w:t>
      </w:r>
      <w:proofErr w:type="gramEnd"/>
      <w:r w:rsidR="007412EF">
        <w:rPr>
          <w:rFonts w:eastAsia="Times New Roman" w:cstheme="minorHAnsi"/>
        </w:rPr>
        <w:t xml:space="preserve"> lump sum distribution from the Deferred Compensation Plan could accumulate to in a p</w:t>
      </w:r>
      <w:r w:rsidRPr="007D0457">
        <w:rPr>
          <w:rFonts w:eastAsia="Times New Roman" w:cstheme="minorHAnsi"/>
        </w:rPr>
        <w:t xml:space="preserve">ersonally managed </w:t>
      </w:r>
      <w:r w:rsidR="007412EF">
        <w:rPr>
          <w:rFonts w:eastAsia="Times New Roman" w:cstheme="minorHAnsi"/>
        </w:rPr>
        <w:t xml:space="preserve">investment </w:t>
      </w:r>
      <w:r w:rsidRPr="007D0457">
        <w:rPr>
          <w:rFonts w:eastAsia="Times New Roman" w:cstheme="minorHAnsi"/>
        </w:rPr>
        <w:t>portfolio</w:t>
      </w:r>
      <w:r w:rsidR="007412EF">
        <w:rPr>
          <w:rFonts w:eastAsia="Times New Roman" w:cstheme="minorHAnsi"/>
        </w:rPr>
        <w:t>.</w:t>
      </w:r>
    </w:p>
    <w:p w14:paraId="7D24CA26" w14:textId="7C67A4FD" w:rsidR="00787975" w:rsidRPr="007D0457" w:rsidRDefault="00E94B09" w:rsidP="00E94B09">
      <w:pPr>
        <w:spacing w:after="100" w:afterAutospacing="1" w:line="276" w:lineRule="auto"/>
        <w:ind w:left="630" w:firstLine="810"/>
        <w:rPr>
          <w:rFonts w:eastAsia="Times New Roman" w:cstheme="minorHAnsi"/>
        </w:rPr>
      </w:pPr>
      <w:r>
        <w:rPr>
          <w:rFonts w:eastAsia="Times New Roman" w:cstheme="minorHAnsi"/>
        </w:rPr>
        <w:object w:dxaOrig="6633" w:dyaOrig="7502" w14:anchorId="3E2E0641">
          <v:shape id="_x0000_i1027" type="#_x0000_t75" style="width:326.35pt;height:314.35pt" o:ole="">
            <v:imagedata r:id="rId29" o:title=""/>
          </v:shape>
          <o:OLEObject Type="Embed" ProgID="Excel.Sheet.12" ShapeID="_x0000_i1027" DrawAspect="Content" ObjectID="_1659877655" r:id="rId30"/>
        </w:object>
      </w:r>
    </w:p>
    <w:p w14:paraId="13AE8EAA" w14:textId="77777777" w:rsidR="00E94B09" w:rsidRPr="004228F4" w:rsidRDefault="00E94B09" w:rsidP="00E94B09">
      <w:pPr>
        <w:spacing w:after="100" w:afterAutospacing="1" w:line="240" w:lineRule="auto"/>
        <w:rPr>
          <w:rFonts w:eastAsia="Times New Roman" w:cstheme="minorHAnsi"/>
          <w:color w:val="444444"/>
          <w:sz w:val="16"/>
          <w:szCs w:val="16"/>
        </w:rPr>
      </w:pPr>
      <w:r>
        <w:rPr>
          <w:rFonts w:eastAsia="Times New Roman" w:cstheme="minorHAnsi"/>
          <w:b/>
          <w:bCs/>
          <w:color w:val="444444"/>
          <w:sz w:val="16"/>
          <w:szCs w:val="16"/>
        </w:rPr>
        <w:t xml:space="preserve">Assumptions: </w:t>
      </w:r>
      <w:r w:rsidRPr="007F031A">
        <w:rPr>
          <w:sz w:val="16"/>
          <w:szCs w:val="16"/>
        </w:rPr>
        <w:t>Cash value earnings: Indexed to the S&amp;P 500 (excluding dividends), collared with a 9.5% cap</w:t>
      </w:r>
      <w:r w:rsidRPr="007F031A">
        <w:t xml:space="preserve"> </w:t>
      </w:r>
      <w:r w:rsidRPr="007F031A">
        <w:rPr>
          <w:sz w:val="16"/>
          <w:szCs w:val="16"/>
        </w:rPr>
        <w:t>and a 1% floor</w:t>
      </w:r>
      <w:r w:rsidRPr="007F031A">
        <w:t>.</w:t>
      </w:r>
      <w:r w:rsidRPr="007F031A">
        <w:rPr>
          <w:rFonts w:eastAsia="Times New Roman" w:cstheme="minorHAnsi"/>
          <w:color w:val="444444"/>
          <w:sz w:val="16"/>
          <w:szCs w:val="16"/>
        </w:rPr>
        <w:t xml:space="preserve"> Insurance policy crediting rate is assumed to be 6%. For the investment account</w:t>
      </w:r>
      <w:r>
        <w:rPr>
          <w:rFonts w:eastAsia="Times New Roman" w:cstheme="minorHAnsi"/>
          <w:color w:val="444444"/>
          <w:sz w:val="16"/>
          <w:szCs w:val="16"/>
        </w:rPr>
        <w:t xml:space="preserve">, </w:t>
      </w:r>
      <w:r w:rsidRPr="007F031A">
        <w:rPr>
          <w:rFonts w:eastAsia="Times New Roman" w:cstheme="minorHAnsi"/>
          <w:color w:val="444444"/>
          <w:sz w:val="16"/>
          <w:szCs w:val="16"/>
        </w:rPr>
        <w:t>assumes pretax investment rate of 5.00%, a blended tax rate of 35.00% and a resulting net after tax investment rate of 3.25%.</w:t>
      </w:r>
    </w:p>
    <w:p w14:paraId="43802AD7" w14:textId="211F1BBD" w:rsidR="00592F2F" w:rsidRPr="00AB12FB" w:rsidRDefault="00AB12FB" w:rsidP="00AB12FB">
      <w:pPr>
        <w:spacing w:after="100" w:afterAutospacing="1" w:line="276" w:lineRule="auto"/>
        <w:rPr>
          <w:rFonts w:ascii="Arial Black" w:hAnsi="Arial Black"/>
          <w:b/>
          <w:bCs/>
          <w:sz w:val="20"/>
          <w:szCs w:val="20"/>
        </w:rPr>
      </w:pPr>
      <w:r>
        <w:rPr>
          <w:rFonts w:ascii="Arial Black" w:hAnsi="Arial Black"/>
          <w:b/>
          <w:bCs/>
          <w:sz w:val="20"/>
          <w:szCs w:val="20"/>
        </w:rPr>
        <w:lastRenderedPageBreak/>
        <w:t xml:space="preserve">Brief Explanation of </w:t>
      </w:r>
      <w:r w:rsidR="00FD367D" w:rsidRPr="00AB12FB">
        <w:rPr>
          <w:rFonts w:ascii="Arial Black" w:hAnsi="Arial Black"/>
          <w:b/>
          <w:bCs/>
          <w:sz w:val="20"/>
          <w:szCs w:val="20"/>
        </w:rPr>
        <w:t xml:space="preserve">Risks </w:t>
      </w:r>
    </w:p>
    <w:p w14:paraId="61E79C76" w14:textId="77777777" w:rsidR="008C3390" w:rsidRPr="008C3390" w:rsidRDefault="008C3390" w:rsidP="00AB12FB">
      <w:pPr>
        <w:spacing w:after="100" w:afterAutospacing="1" w:line="276" w:lineRule="auto"/>
      </w:pPr>
      <w:r w:rsidRPr="008C3390">
        <w:t>There are potential risks associated with the NQDC Exit Strategy, as outlined below:</w:t>
      </w:r>
    </w:p>
    <w:p w14:paraId="161637A4" w14:textId="7D849225" w:rsidR="00592F2F" w:rsidRPr="008C3390" w:rsidRDefault="00FD367D" w:rsidP="008C3390">
      <w:pPr>
        <w:pStyle w:val="ListParagraph"/>
        <w:numPr>
          <w:ilvl w:val="0"/>
          <w:numId w:val="19"/>
        </w:numPr>
        <w:spacing w:after="100" w:afterAutospacing="1" w:line="276" w:lineRule="auto"/>
        <w:rPr>
          <w:rFonts w:eastAsia="Times New Roman" w:cstheme="minorHAnsi"/>
          <w:color w:val="444444"/>
        </w:rPr>
      </w:pPr>
      <w:r w:rsidRPr="008C3390">
        <w:rPr>
          <w:b/>
          <w:bCs/>
        </w:rPr>
        <w:t>Interest Rate</w:t>
      </w:r>
      <w:r w:rsidRPr="00AB12FB">
        <w:t xml:space="preserve">: The risk that the interest rate on the </w:t>
      </w:r>
      <w:r w:rsidR="00DC3D4B" w:rsidRPr="00AB12FB">
        <w:t xml:space="preserve">premium financing </w:t>
      </w:r>
      <w:r w:rsidRPr="00AB12FB">
        <w:t>loan increases significantly</w:t>
      </w:r>
      <w:r w:rsidR="00AB12FB">
        <w:t>.</w:t>
      </w:r>
      <w:r w:rsidR="00AB12FB" w:rsidRPr="008C3390">
        <w:rPr>
          <w:vertAlign w:val="superscript"/>
        </w:rPr>
        <w:t>1</w:t>
      </w:r>
    </w:p>
    <w:p w14:paraId="1180DBF5" w14:textId="54E281C9" w:rsidR="00592F2F" w:rsidRPr="008C3390" w:rsidRDefault="00FD367D" w:rsidP="008C3390">
      <w:pPr>
        <w:pStyle w:val="ListParagraph"/>
        <w:numPr>
          <w:ilvl w:val="0"/>
          <w:numId w:val="19"/>
        </w:numPr>
        <w:spacing w:after="100" w:afterAutospacing="1" w:line="276" w:lineRule="auto"/>
        <w:rPr>
          <w:rFonts w:eastAsia="Times New Roman" w:cstheme="minorHAnsi"/>
          <w:color w:val="444444"/>
        </w:rPr>
      </w:pPr>
      <w:r w:rsidRPr="008C3390">
        <w:rPr>
          <w:b/>
          <w:bCs/>
        </w:rPr>
        <w:t>Policy Performance:</w:t>
      </w:r>
      <w:r w:rsidRPr="00AB12FB">
        <w:t xml:space="preserve"> The risk that the future cash value earnings are not as </w:t>
      </w:r>
      <w:r w:rsidR="00640562">
        <w:t>high</w:t>
      </w:r>
      <w:r w:rsidRPr="00AB12FB">
        <w:t xml:space="preserve"> as expected/ projected</w:t>
      </w:r>
      <w:r w:rsidR="00DC3D4B" w:rsidRPr="00AB12FB">
        <w:t>.</w:t>
      </w:r>
      <w:r w:rsidRPr="00AB12FB">
        <w:t xml:space="preserve"> </w:t>
      </w:r>
    </w:p>
    <w:p w14:paraId="1DE51F23" w14:textId="2F1A2E3B" w:rsidR="00592F2F" w:rsidRPr="008C3390" w:rsidRDefault="00FD367D" w:rsidP="008C3390">
      <w:pPr>
        <w:pStyle w:val="ListParagraph"/>
        <w:numPr>
          <w:ilvl w:val="0"/>
          <w:numId w:val="19"/>
        </w:numPr>
        <w:spacing w:after="100" w:afterAutospacing="1" w:line="276" w:lineRule="auto"/>
        <w:rPr>
          <w:rFonts w:eastAsia="Times New Roman" w:cstheme="minorHAnsi"/>
          <w:color w:val="444444"/>
        </w:rPr>
      </w:pPr>
      <w:r w:rsidRPr="008C3390">
        <w:rPr>
          <w:b/>
          <w:bCs/>
        </w:rPr>
        <w:t>Tax Law:</w:t>
      </w:r>
      <w:r w:rsidRPr="00AB12FB">
        <w:t xml:space="preserve"> The risk of an adverse change in tax law impacting the existing tax benefits of life insurance contracts</w:t>
      </w:r>
      <w:r w:rsidR="00DC3D4B" w:rsidRPr="00AB12FB">
        <w:t>.</w:t>
      </w:r>
      <w:r w:rsidRPr="00AB12FB">
        <w:t xml:space="preserve"> </w:t>
      </w:r>
    </w:p>
    <w:p w14:paraId="730BF3F3" w14:textId="5F50FDC9" w:rsidR="00592F2F" w:rsidRPr="008C3390" w:rsidRDefault="00FD367D" w:rsidP="008C3390">
      <w:pPr>
        <w:pStyle w:val="ListParagraph"/>
        <w:numPr>
          <w:ilvl w:val="0"/>
          <w:numId w:val="19"/>
        </w:numPr>
        <w:spacing w:after="100" w:afterAutospacing="1" w:line="276" w:lineRule="auto"/>
        <w:rPr>
          <w:rFonts w:eastAsia="Times New Roman" w:cstheme="minorHAnsi"/>
          <w:color w:val="444444"/>
        </w:rPr>
      </w:pPr>
      <w:r w:rsidRPr="008C3390">
        <w:rPr>
          <w:b/>
          <w:bCs/>
        </w:rPr>
        <w:t>Early Exit:</w:t>
      </w:r>
      <w:r w:rsidRPr="00AB12FB">
        <w:t xml:space="preserve"> The risk of incurring additional costs to unwind the arrangement in the first few years, if </w:t>
      </w:r>
      <w:r w:rsidR="00AB12FB" w:rsidRPr="00AB12FB">
        <w:t>necessary,</w:t>
      </w:r>
      <w:r w:rsidRPr="00AB12FB">
        <w:t xml:space="preserve"> for some unexpected reason. </w:t>
      </w:r>
    </w:p>
    <w:p w14:paraId="60712658" w14:textId="6765473E" w:rsidR="008C1E85" w:rsidRPr="008C3390" w:rsidRDefault="00DC3D4B" w:rsidP="008C3390">
      <w:pPr>
        <w:pStyle w:val="ListParagraph"/>
        <w:numPr>
          <w:ilvl w:val="0"/>
          <w:numId w:val="19"/>
        </w:numPr>
        <w:shd w:val="clear" w:color="auto" w:fill="FFFFFF"/>
        <w:spacing w:line="276" w:lineRule="auto"/>
        <w:rPr>
          <w:rFonts w:eastAsia="Times New Roman" w:cs="Arial"/>
          <w:color w:val="222222"/>
        </w:rPr>
      </w:pPr>
      <w:r w:rsidRPr="008C3390">
        <w:rPr>
          <w:b/>
          <w:bCs/>
        </w:rPr>
        <w:t>Surrendering the insurance policy.</w:t>
      </w:r>
      <w:r w:rsidRPr="008C3390">
        <w:rPr>
          <w:rFonts w:eastAsia="Times New Roman" w:cstheme="minorHAnsi"/>
          <w:color w:val="444444"/>
        </w:rPr>
        <w:t xml:space="preserve"> </w:t>
      </w:r>
      <w:r w:rsidRPr="008C3390">
        <w:rPr>
          <w:rFonts w:eastAsia="Times New Roman" w:cs="Arial"/>
          <w:color w:val="222222"/>
        </w:rPr>
        <w:t>The surrender of your policy may result in taxable gain</w:t>
      </w:r>
      <w:r w:rsidR="00F94E9A">
        <w:rPr>
          <w:rFonts w:eastAsia="Times New Roman" w:cs="Arial"/>
          <w:color w:val="222222"/>
        </w:rPr>
        <w:t xml:space="preserve">. </w:t>
      </w:r>
      <w:r w:rsidRPr="008C3390">
        <w:rPr>
          <w:rFonts w:eastAsia="Times New Roman" w:cs="Arial"/>
          <w:color w:val="222222"/>
        </w:rPr>
        <w:t xml:space="preserve"> </w:t>
      </w:r>
      <w:r w:rsidR="00F94E9A">
        <w:rPr>
          <w:rFonts w:eastAsia="Times New Roman" w:cs="Arial"/>
          <w:color w:val="222222"/>
          <w:shd w:val="clear" w:color="auto" w:fill="FFFFFF"/>
        </w:rPr>
        <w:t>I</w:t>
      </w:r>
      <w:r w:rsidRPr="008C3390">
        <w:rPr>
          <w:rFonts w:eastAsia="Times New Roman" w:cs="Arial"/>
          <w:color w:val="222222"/>
          <w:shd w:val="clear" w:color="auto" w:fill="FFFFFF"/>
        </w:rPr>
        <w:t>f the executive surrender</w:t>
      </w:r>
      <w:r w:rsidR="00231E9C" w:rsidRPr="008C3390">
        <w:rPr>
          <w:rFonts w:eastAsia="Times New Roman" w:cs="Arial"/>
          <w:color w:val="222222"/>
          <w:shd w:val="clear" w:color="auto" w:fill="FFFFFF"/>
        </w:rPr>
        <w:t>s</w:t>
      </w:r>
      <w:r w:rsidRPr="008C3390">
        <w:rPr>
          <w:rFonts w:eastAsia="Times New Roman" w:cs="Arial"/>
          <w:color w:val="222222"/>
          <w:shd w:val="clear" w:color="auto" w:fill="FFFFFF"/>
        </w:rPr>
        <w:t> </w:t>
      </w:r>
      <w:r w:rsidR="00231E9C" w:rsidRPr="008C3390">
        <w:rPr>
          <w:rFonts w:eastAsia="Times New Roman" w:cs="Arial"/>
          <w:color w:val="222222"/>
          <w:shd w:val="clear" w:color="auto" w:fill="FFFFFF"/>
        </w:rPr>
        <w:t>the</w:t>
      </w:r>
      <w:r w:rsidRPr="008C3390">
        <w:rPr>
          <w:rFonts w:eastAsia="Times New Roman" w:cs="Arial"/>
          <w:color w:val="222222"/>
          <w:shd w:val="clear" w:color="auto" w:fill="FFFFFF"/>
        </w:rPr>
        <w:t xml:space="preserve"> life insurance policy, any gain on the policy will be subject to federal (and possibly state) income tax. Your basis is the total premiums that you paid in cash, minus any policy dividends and tax-free withdrawals that you </w:t>
      </w:r>
      <w:r w:rsidR="00AB12FB" w:rsidRPr="008C3390">
        <w:rPr>
          <w:rFonts w:eastAsia="Times New Roman" w:cs="Arial"/>
          <w:color w:val="222222"/>
          <w:shd w:val="clear" w:color="auto" w:fill="FFFFFF"/>
        </w:rPr>
        <w:t>made. That</w:t>
      </w:r>
      <w:r w:rsidR="00231E9C" w:rsidRPr="008C3390">
        <w:rPr>
          <w:rFonts w:eastAsia="Times New Roman" w:cs="Arial"/>
          <w:color w:val="222222"/>
          <w:shd w:val="clear" w:color="auto" w:fill="FFFFFF"/>
        </w:rPr>
        <w:t xml:space="preserve"> is why we structure this arrangement and administer it never to surrender the policy. </w:t>
      </w:r>
    </w:p>
    <w:p w14:paraId="1E2118C7" w14:textId="6284ACF7" w:rsidR="00821FDB" w:rsidRPr="00122E27" w:rsidRDefault="00AB12FB" w:rsidP="00122E27">
      <w:pPr>
        <w:spacing w:after="0" w:line="240" w:lineRule="auto"/>
        <w:ind w:left="360"/>
        <w:rPr>
          <w:rFonts w:eastAsia="Times New Roman" w:cstheme="minorHAnsi"/>
          <w:color w:val="444444"/>
          <w:sz w:val="20"/>
          <w:szCs w:val="20"/>
        </w:rPr>
      </w:pPr>
      <w:r w:rsidRPr="00122E27">
        <w:rPr>
          <w:sz w:val="20"/>
          <w:szCs w:val="20"/>
          <w:vertAlign w:val="superscript"/>
        </w:rPr>
        <w:t>1</w:t>
      </w:r>
      <w:r w:rsidRPr="00122E27">
        <w:rPr>
          <w:sz w:val="20"/>
          <w:szCs w:val="20"/>
        </w:rPr>
        <w:t>N</w:t>
      </w:r>
      <w:r w:rsidR="00FD367D" w:rsidRPr="00122E27">
        <w:rPr>
          <w:sz w:val="20"/>
          <w:szCs w:val="20"/>
        </w:rPr>
        <w:t>ote: This</w:t>
      </w:r>
      <w:r w:rsidR="002A703D" w:rsidRPr="00122E27">
        <w:rPr>
          <w:sz w:val="20"/>
          <w:szCs w:val="20"/>
        </w:rPr>
        <w:t xml:space="preserve"> situation</w:t>
      </w:r>
      <w:r w:rsidR="00FD367D" w:rsidRPr="00122E27">
        <w:rPr>
          <w:sz w:val="20"/>
          <w:szCs w:val="20"/>
        </w:rPr>
        <w:t xml:space="preserve"> is generally only an issue if the plan is structured for repayment of the loans from the cash value of the policy (which may be inadequate in the early years to cover repayment). It would not be an issue in this case since the plan is to repay the premium loans from the </w:t>
      </w:r>
      <w:r w:rsidR="002A703D" w:rsidRPr="00122E27">
        <w:rPr>
          <w:sz w:val="20"/>
          <w:szCs w:val="20"/>
        </w:rPr>
        <w:t>d</w:t>
      </w:r>
      <w:r w:rsidR="00FD367D" w:rsidRPr="00122E27">
        <w:rPr>
          <w:sz w:val="20"/>
          <w:szCs w:val="20"/>
        </w:rPr>
        <w:t xml:space="preserve">eferred </w:t>
      </w:r>
      <w:r w:rsidR="002A703D" w:rsidRPr="00122E27">
        <w:rPr>
          <w:sz w:val="20"/>
          <w:szCs w:val="20"/>
        </w:rPr>
        <w:t>c</w:t>
      </w:r>
      <w:r w:rsidR="00FD367D" w:rsidRPr="00122E27">
        <w:rPr>
          <w:sz w:val="20"/>
          <w:szCs w:val="20"/>
        </w:rPr>
        <w:t>ompensation benefits.</w:t>
      </w:r>
      <w:r w:rsidR="00122E27">
        <w:rPr>
          <w:sz w:val="20"/>
          <w:szCs w:val="20"/>
        </w:rPr>
        <w:t xml:space="preserve">  In addition, it’s possible to lock-in a loan rate for </w:t>
      </w:r>
      <w:proofErr w:type="gramStart"/>
      <w:r w:rsidR="00122E27">
        <w:rPr>
          <w:sz w:val="20"/>
          <w:szCs w:val="20"/>
        </w:rPr>
        <w:t>a period of time</w:t>
      </w:r>
      <w:proofErr w:type="gramEnd"/>
      <w:r w:rsidR="00122E27">
        <w:rPr>
          <w:sz w:val="20"/>
          <w:szCs w:val="20"/>
        </w:rPr>
        <w:t xml:space="preserve"> that might cover the intended term of the loan.</w:t>
      </w:r>
    </w:p>
    <w:p w14:paraId="0676D6BB" w14:textId="77777777" w:rsidR="008C370B" w:rsidRDefault="008C370B" w:rsidP="00AB12FB">
      <w:pPr>
        <w:spacing w:after="100" w:afterAutospacing="1" w:line="276" w:lineRule="auto"/>
        <w:rPr>
          <w:rFonts w:ascii="Arial Black" w:eastAsia="Times New Roman" w:hAnsi="Arial Black" w:cstheme="minorHAnsi"/>
          <w:b/>
          <w:bCs/>
          <w:sz w:val="20"/>
          <w:szCs w:val="20"/>
        </w:rPr>
      </w:pPr>
    </w:p>
    <w:p w14:paraId="5CE764C1" w14:textId="5EC353E8" w:rsidR="002A703D" w:rsidRDefault="00E81BC6" w:rsidP="00AB12FB">
      <w:pPr>
        <w:spacing w:after="100" w:afterAutospacing="1" w:line="276" w:lineRule="auto"/>
        <w:rPr>
          <w:rFonts w:ascii="Arial Black" w:eastAsia="Times New Roman" w:hAnsi="Arial Black" w:cstheme="minorHAnsi"/>
          <w:b/>
          <w:bCs/>
          <w:sz w:val="20"/>
          <w:szCs w:val="20"/>
        </w:rPr>
      </w:pPr>
      <w:r w:rsidRPr="002A703D">
        <w:rPr>
          <w:rFonts w:ascii="Arial Black" w:eastAsia="Times New Roman" w:hAnsi="Arial Black" w:cstheme="minorHAnsi"/>
          <w:b/>
          <w:bCs/>
          <w:sz w:val="20"/>
          <w:szCs w:val="20"/>
        </w:rPr>
        <w:t xml:space="preserve">Benefits to </w:t>
      </w:r>
      <w:r w:rsidR="00640562">
        <w:rPr>
          <w:rFonts w:ascii="Arial Black" w:eastAsia="Times New Roman" w:hAnsi="Arial Black" w:cstheme="minorHAnsi"/>
          <w:b/>
          <w:bCs/>
          <w:sz w:val="20"/>
          <w:szCs w:val="20"/>
        </w:rPr>
        <w:t xml:space="preserve">the </w:t>
      </w:r>
      <w:r w:rsidRPr="002A703D">
        <w:rPr>
          <w:rFonts w:ascii="Arial Black" w:eastAsia="Times New Roman" w:hAnsi="Arial Black" w:cstheme="minorHAnsi"/>
          <w:b/>
          <w:bCs/>
          <w:sz w:val="20"/>
          <w:szCs w:val="20"/>
        </w:rPr>
        <w:t>executive</w:t>
      </w:r>
    </w:p>
    <w:p w14:paraId="00616986" w14:textId="77777777" w:rsidR="008C370B" w:rsidRDefault="002A703D" w:rsidP="00AB12FB">
      <w:pPr>
        <w:spacing w:after="100" w:afterAutospacing="1" w:line="276" w:lineRule="auto"/>
        <w:rPr>
          <w:rFonts w:eastAsia="Times New Roman" w:cstheme="minorHAnsi"/>
        </w:rPr>
      </w:pPr>
      <w:r w:rsidRPr="002A703D">
        <w:rPr>
          <w:rFonts w:eastAsia="Times New Roman" w:cstheme="minorHAnsi"/>
        </w:rPr>
        <w:t>T</w:t>
      </w:r>
      <w:r w:rsidR="00571E3D" w:rsidRPr="00AB12FB">
        <w:rPr>
          <w:rFonts w:eastAsia="Times New Roman" w:cstheme="minorHAnsi"/>
        </w:rPr>
        <w:t xml:space="preserve">he benefit to the executive, once </w:t>
      </w:r>
      <w:r>
        <w:rPr>
          <w:rFonts w:eastAsia="Times New Roman" w:cstheme="minorHAnsi"/>
        </w:rPr>
        <w:t>they</w:t>
      </w:r>
      <w:r w:rsidR="00571E3D" w:rsidRPr="00AB12FB">
        <w:rPr>
          <w:rFonts w:eastAsia="Times New Roman" w:cstheme="minorHAnsi"/>
        </w:rPr>
        <w:t xml:space="preserve"> take distribution</w:t>
      </w:r>
      <w:r w:rsidR="008C1E85" w:rsidRPr="00AB12FB">
        <w:rPr>
          <w:rFonts w:eastAsia="Times New Roman" w:cstheme="minorHAnsi"/>
        </w:rPr>
        <w:t xml:space="preserve"> from their NQDC plan</w:t>
      </w:r>
      <w:r w:rsidR="00571E3D" w:rsidRPr="00AB12FB">
        <w:rPr>
          <w:rFonts w:eastAsia="Times New Roman" w:cstheme="minorHAnsi"/>
        </w:rPr>
        <w:t xml:space="preserve">, is </w:t>
      </w:r>
      <w:r w:rsidR="008C1E85" w:rsidRPr="00AB12FB">
        <w:rPr>
          <w:rFonts w:eastAsia="Times New Roman" w:cstheme="minorHAnsi"/>
        </w:rPr>
        <w:t xml:space="preserve">that </w:t>
      </w:r>
      <w:r w:rsidR="00571E3D" w:rsidRPr="00AB12FB">
        <w:rPr>
          <w:rFonts w:eastAsia="Times New Roman" w:cstheme="minorHAnsi"/>
        </w:rPr>
        <w:t>they are no longer subject to the claims of the employer creditors</w:t>
      </w:r>
      <w:r w:rsidR="008C1E85" w:rsidRPr="00AB12FB">
        <w:rPr>
          <w:rFonts w:eastAsia="Times New Roman" w:cstheme="minorHAnsi"/>
        </w:rPr>
        <w:t>, locked into distribution elections</w:t>
      </w:r>
      <w:r>
        <w:rPr>
          <w:rFonts w:eastAsia="Times New Roman" w:cstheme="minorHAnsi"/>
        </w:rPr>
        <w:t>,</w:t>
      </w:r>
      <w:r w:rsidR="00571E3D" w:rsidRPr="00AB12FB">
        <w:rPr>
          <w:rFonts w:eastAsia="Times New Roman" w:cstheme="minorHAnsi"/>
        </w:rPr>
        <w:t xml:space="preserve"> or subject to increased tax rates on distributions. </w:t>
      </w:r>
      <w:r>
        <w:rPr>
          <w:rFonts w:eastAsia="Times New Roman" w:cstheme="minorHAnsi"/>
        </w:rPr>
        <w:t>Executives are</w:t>
      </w:r>
      <w:r w:rsidR="00571E3D" w:rsidRPr="00AB12FB">
        <w:rPr>
          <w:rFonts w:eastAsia="Times New Roman" w:cstheme="minorHAnsi"/>
        </w:rPr>
        <w:t xml:space="preserve"> in control of their funds. </w:t>
      </w:r>
    </w:p>
    <w:p w14:paraId="650D12A6" w14:textId="16EC5E25" w:rsidR="00E81BC6" w:rsidRPr="00AB12FB" w:rsidRDefault="00571E3D" w:rsidP="00AB12FB">
      <w:pPr>
        <w:spacing w:after="100" w:afterAutospacing="1" w:line="276" w:lineRule="auto"/>
        <w:rPr>
          <w:rFonts w:eastAsia="Times New Roman" w:cstheme="minorHAnsi"/>
        </w:rPr>
      </w:pPr>
      <w:r w:rsidRPr="00AB12FB">
        <w:rPr>
          <w:rFonts w:eastAsia="Times New Roman" w:cstheme="minorHAnsi"/>
        </w:rPr>
        <w:t xml:space="preserve">The NQDC </w:t>
      </w:r>
      <w:r w:rsidR="00F94E9A">
        <w:rPr>
          <w:rFonts w:eastAsia="Times New Roman" w:cstheme="minorHAnsi"/>
        </w:rPr>
        <w:t xml:space="preserve">Exit Strategy </w:t>
      </w:r>
      <w:r w:rsidRPr="00AB12FB">
        <w:rPr>
          <w:rFonts w:eastAsia="Times New Roman" w:cstheme="minorHAnsi"/>
        </w:rPr>
        <w:t xml:space="preserve">offers </w:t>
      </w:r>
      <w:r w:rsidR="00F94E9A">
        <w:rPr>
          <w:rFonts w:eastAsia="Times New Roman" w:cstheme="minorHAnsi"/>
        </w:rPr>
        <w:t>executives</w:t>
      </w:r>
      <w:r w:rsidRPr="00AB12FB">
        <w:rPr>
          <w:rFonts w:eastAsia="Times New Roman" w:cstheme="minorHAnsi"/>
        </w:rPr>
        <w:t xml:space="preserve"> the ability to accumulate funds tax</w:t>
      </w:r>
      <w:r w:rsidR="002A703D">
        <w:rPr>
          <w:rFonts w:eastAsia="Times New Roman" w:cstheme="minorHAnsi"/>
        </w:rPr>
        <w:t>-</w:t>
      </w:r>
      <w:r w:rsidRPr="00AB12FB">
        <w:rPr>
          <w:rFonts w:eastAsia="Times New Roman" w:cstheme="minorHAnsi"/>
        </w:rPr>
        <w:t xml:space="preserve">deferred and the ability to withdraw from the insurance policy </w:t>
      </w:r>
      <w:r w:rsidR="00F94E9A">
        <w:rPr>
          <w:rFonts w:eastAsia="Times New Roman" w:cstheme="minorHAnsi"/>
        </w:rPr>
        <w:t xml:space="preserve">on a </w:t>
      </w:r>
      <w:r w:rsidRPr="00AB12FB">
        <w:rPr>
          <w:rFonts w:eastAsia="Times New Roman" w:cstheme="minorHAnsi"/>
        </w:rPr>
        <w:t>tax-free</w:t>
      </w:r>
      <w:r w:rsidR="00F94E9A">
        <w:rPr>
          <w:rFonts w:eastAsia="Times New Roman" w:cstheme="minorHAnsi"/>
        </w:rPr>
        <w:t xml:space="preserve"> basis</w:t>
      </w:r>
      <w:r w:rsidRPr="00AB12FB">
        <w:rPr>
          <w:rFonts w:eastAsia="Times New Roman" w:cstheme="minorHAnsi"/>
        </w:rPr>
        <w:t>. The economics of this ta</w:t>
      </w:r>
      <w:r w:rsidR="002A703D">
        <w:rPr>
          <w:rFonts w:eastAsia="Times New Roman" w:cstheme="minorHAnsi"/>
        </w:rPr>
        <w:t>x-</w:t>
      </w:r>
      <w:r w:rsidRPr="00AB12FB">
        <w:rPr>
          <w:rFonts w:eastAsia="Times New Roman" w:cstheme="minorHAnsi"/>
        </w:rPr>
        <w:t>deferred grow</w:t>
      </w:r>
      <w:r w:rsidR="002A703D">
        <w:rPr>
          <w:rFonts w:eastAsia="Times New Roman" w:cstheme="minorHAnsi"/>
        </w:rPr>
        <w:t>th</w:t>
      </w:r>
      <w:r w:rsidRPr="00AB12FB">
        <w:rPr>
          <w:rFonts w:eastAsia="Times New Roman" w:cstheme="minorHAnsi"/>
        </w:rPr>
        <w:t xml:space="preserve"> in our example above shows </w:t>
      </w:r>
      <w:r w:rsidR="002A703D">
        <w:rPr>
          <w:rFonts w:eastAsia="Times New Roman" w:cstheme="minorHAnsi"/>
        </w:rPr>
        <w:t xml:space="preserve">a </w:t>
      </w:r>
      <w:r w:rsidRPr="00AB12FB">
        <w:rPr>
          <w:rFonts w:eastAsia="Times New Roman" w:cstheme="minorHAnsi"/>
        </w:rPr>
        <w:t xml:space="preserve">$820,862 gain over personal investing. And for those that want to transfer wealth, </w:t>
      </w:r>
      <w:r w:rsidR="00640562">
        <w:rPr>
          <w:rFonts w:eastAsia="Times New Roman" w:cstheme="minorHAnsi"/>
        </w:rPr>
        <w:t xml:space="preserve">you </w:t>
      </w:r>
      <w:r w:rsidRPr="00AB12FB">
        <w:rPr>
          <w:rFonts w:eastAsia="Times New Roman" w:cstheme="minorHAnsi"/>
        </w:rPr>
        <w:t>can</w:t>
      </w:r>
      <w:r w:rsidR="00640562">
        <w:rPr>
          <w:rFonts w:eastAsia="Times New Roman" w:cstheme="minorHAnsi"/>
        </w:rPr>
        <w:t xml:space="preserve"> pay</w:t>
      </w:r>
      <w:r w:rsidRPr="00AB12FB">
        <w:rPr>
          <w:rFonts w:eastAsia="Times New Roman" w:cstheme="minorHAnsi"/>
        </w:rPr>
        <w:t xml:space="preserve"> heirs income tax</w:t>
      </w:r>
      <w:r w:rsidR="00640562">
        <w:rPr>
          <w:rFonts w:eastAsia="Times New Roman" w:cstheme="minorHAnsi"/>
        </w:rPr>
        <w:t>-</w:t>
      </w:r>
      <w:r w:rsidRPr="00AB12FB">
        <w:rPr>
          <w:rFonts w:eastAsia="Times New Roman" w:cstheme="minorHAnsi"/>
        </w:rPr>
        <w:t>free</w:t>
      </w:r>
      <w:r w:rsidR="008C1E85" w:rsidRPr="00AB12FB">
        <w:rPr>
          <w:rFonts w:eastAsia="Times New Roman" w:cstheme="minorHAnsi"/>
        </w:rPr>
        <w:t xml:space="preserve"> and</w:t>
      </w:r>
      <w:r w:rsidR="002A703D">
        <w:rPr>
          <w:rFonts w:eastAsia="Times New Roman" w:cstheme="minorHAnsi"/>
        </w:rPr>
        <w:t>,</w:t>
      </w:r>
      <w:r w:rsidR="008C1E85" w:rsidRPr="00AB12FB">
        <w:rPr>
          <w:rFonts w:eastAsia="Times New Roman" w:cstheme="minorHAnsi"/>
        </w:rPr>
        <w:t xml:space="preserve"> with proper planning</w:t>
      </w:r>
      <w:r w:rsidR="00F94E9A">
        <w:rPr>
          <w:rFonts w:eastAsia="Times New Roman" w:cstheme="minorHAnsi"/>
        </w:rPr>
        <w:t>,</w:t>
      </w:r>
      <w:r w:rsidR="008C1E85" w:rsidRPr="00AB12FB">
        <w:rPr>
          <w:rFonts w:eastAsia="Times New Roman" w:cstheme="minorHAnsi"/>
        </w:rPr>
        <w:t xml:space="preserve"> estate tax</w:t>
      </w:r>
      <w:r w:rsidR="002A703D">
        <w:rPr>
          <w:rFonts w:eastAsia="Times New Roman" w:cstheme="minorHAnsi"/>
        </w:rPr>
        <w:t>-</w:t>
      </w:r>
      <w:r w:rsidR="008C1E85" w:rsidRPr="00AB12FB">
        <w:rPr>
          <w:rFonts w:eastAsia="Times New Roman" w:cstheme="minorHAnsi"/>
        </w:rPr>
        <w:t>free</w:t>
      </w:r>
      <w:r w:rsidR="00640562">
        <w:rPr>
          <w:rFonts w:eastAsia="Times New Roman" w:cstheme="minorHAnsi"/>
        </w:rPr>
        <w:t xml:space="preserve"> because of </w:t>
      </w:r>
      <w:r w:rsidR="00640562" w:rsidRPr="00AB12FB">
        <w:rPr>
          <w:rFonts w:eastAsia="Times New Roman" w:cstheme="minorHAnsi"/>
        </w:rPr>
        <w:t>the</w:t>
      </w:r>
      <w:r w:rsidR="00640562">
        <w:rPr>
          <w:rFonts w:eastAsia="Times New Roman" w:cstheme="minorHAnsi"/>
        </w:rPr>
        <w:t xml:space="preserve"> </w:t>
      </w:r>
      <w:r w:rsidR="00640562" w:rsidRPr="00AB12FB">
        <w:rPr>
          <w:rFonts w:eastAsia="Times New Roman" w:cstheme="minorHAnsi"/>
        </w:rPr>
        <w:t>substantial life insurance benefit</w:t>
      </w:r>
      <w:r w:rsidR="00640562">
        <w:rPr>
          <w:rFonts w:eastAsia="Times New Roman" w:cstheme="minorHAnsi"/>
        </w:rPr>
        <w:t>.</w:t>
      </w:r>
    </w:p>
    <w:p w14:paraId="6AFF727D" w14:textId="3254455F" w:rsidR="002A703D" w:rsidRPr="002A703D" w:rsidRDefault="00E81BC6" w:rsidP="00AB12FB">
      <w:pPr>
        <w:spacing w:after="100" w:afterAutospacing="1" w:line="276" w:lineRule="auto"/>
        <w:rPr>
          <w:rFonts w:ascii="Arial Black" w:eastAsia="Times New Roman" w:hAnsi="Arial Black" w:cstheme="minorHAnsi"/>
          <w:sz w:val="20"/>
          <w:szCs w:val="20"/>
        </w:rPr>
      </w:pPr>
      <w:r w:rsidRPr="002A703D">
        <w:rPr>
          <w:rFonts w:ascii="Arial Black" w:eastAsia="Times New Roman" w:hAnsi="Arial Black" w:cstheme="minorHAnsi"/>
          <w:b/>
          <w:bCs/>
          <w:sz w:val="20"/>
          <w:szCs w:val="20"/>
        </w:rPr>
        <w:t xml:space="preserve">Benefits to </w:t>
      </w:r>
      <w:r w:rsidR="00640562">
        <w:rPr>
          <w:rFonts w:ascii="Arial Black" w:eastAsia="Times New Roman" w:hAnsi="Arial Black" w:cstheme="minorHAnsi"/>
          <w:b/>
          <w:bCs/>
          <w:sz w:val="20"/>
          <w:szCs w:val="20"/>
        </w:rPr>
        <w:t xml:space="preserve">the </w:t>
      </w:r>
      <w:r w:rsidRPr="002A703D">
        <w:rPr>
          <w:rFonts w:ascii="Arial Black" w:eastAsia="Times New Roman" w:hAnsi="Arial Black" w:cstheme="minorHAnsi"/>
          <w:b/>
          <w:bCs/>
          <w:sz w:val="20"/>
          <w:szCs w:val="20"/>
        </w:rPr>
        <w:t xml:space="preserve">company </w:t>
      </w:r>
    </w:p>
    <w:p w14:paraId="37F66D9A" w14:textId="3419ECDB" w:rsidR="00301B2A" w:rsidRPr="008C370B" w:rsidRDefault="002A703D" w:rsidP="008C370B">
      <w:pPr>
        <w:spacing w:after="100" w:afterAutospacing="1" w:line="276" w:lineRule="auto"/>
        <w:rPr>
          <w:rFonts w:eastAsia="Times New Roman" w:cstheme="minorHAnsi"/>
        </w:rPr>
      </w:pPr>
      <w:r>
        <w:rPr>
          <w:rFonts w:eastAsia="Times New Roman" w:cstheme="minorHAnsi"/>
        </w:rPr>
        <w:t>T</w:t>
      </w:r>
      <w:r w:rsidR="00571E3D" w:rsidRPr="00AB12FB">
        <w:rPr>
          <w:rFonts w:eastAsia="Times New Roman" w:cstheme="minorHAnsi"/>
        </w:rPr>
        <w:t>he NQDC Exit Strategy is a personal decision of the executive and does not involve their employer. The employer does not have to change or modify their plans to make this work.</w:t>
      </w:r>
    </w:p>
    <w:p w14:paraId="1DE2565D" w14:textId="77777777" w:rsidR="00271DC5" w:rsidRDefault="00271DC5" w:rsidP="00E81BC6">
      <w:pPr>
        <w:spacing w:after="100" w:afterAutospacing="1" w:line="240" w:lineRule="auto"/>
        <w:rPr>
          <w:rFonts w:ascii="Arial Black" w:eastAsia="Times New Roman" w:hAnsi="Arial Black" w:cstheme="minorHAnsi"/>
          <w:b/>
          <w:bCs/>
        </w:rPr>
      </w:pPr>
    </w:p>
    <w:p w14:paraId="58287E6F" w14:textId="47F1AF63" w:rsidR="00E81BC6" w:rsidRPr="00472F7D" w:rsidRDefault="002A703D" w:rsidP="00E81BC6">
      <w:pPr>
        <w:spacing w:after="100" w:afterAutospacing="1" w:line="240" w:lineRule="auto"/>
        <w:rPr>
          <w:rFonts w:ascii="Arial Black" w:eastAsia="Times New Roman" w:hAnsi="Arial Black" w:cstheme="minorHAnsi"/>
        </w:rPr>
      </w:pPr>
      <w:r w:rsidRPr="00472F7D">
        <w:rPr>
          <w:rFonts w:ascii="Arial Black" w:eastAsia="Times New Roman" w:hAnsi="Arial Black" w:cstheme="minorHAnsi"/>
          <w:b/>
          <w:bCs/>
        </w:rPr>
        <w:lastRenderedPageBreak/>
        <w:t xml:space="preserve">The Optimal Insurance Arrangement </w:t>
      </w:r>
    </w:p>
    <w:p w14:paraId="248741F1" w14:textId="0B785E3D" w:rsidR="00E81BC6" w:rsidRPr="00472F7D" w:rsidRDefault="00E81BC6" w:rsidP="002A703D">
      <w:pPr>
        <w:spacing w:after="100" w:afterAutospacing="1" w:line="276" w:lineRule="auto"/>
        <w:rPr>
          <w:rFonts w:eastAsia="Times New Roman" w:cstheme="minorHAnsi"/>
        </w:rPr>
      </w:pPr>
      <w:r w:rsidRPr="00472F7D">
        <w:rPr>
          <w:rFonts w:eastAsia="Times New Roman" w:cstheme="minorHAnsi"/>
        </w:rPr>
        <w:t>Participants can choose from among many different types of insurance policies for a</w:t>
      </w:r>
      <w:r w:rsidR="00640562">
        <w:rPr>
          <w:rFonts w:eastAsia="Times New Roman" w:cstheme="minorHAnsi"/>
        </w:rPr>
        <w:t>n</w:t>
      </w:r>
      <w:r w:rsidRPr="00472F7D">
        <w:rPr>
          <w:rFonts w:eastAsia="Times New Roman" w:cstheme="minorHAnsi"/>
        </w:rPr>
        <w:t xml:space="preserve"> </w:t>
      </w:r>
      <w:r w:rsidR="00571E3D" w:rsidRPr="00472F7D">
        <w:rPr>
          <w:rFonts w:eastAsia="Times New Roman" w:cstheme="minorHAnsi"/>
        </w:rPr>
        <w:t>NQDC Exit Strategy</w:t>
      </w:r>
      <w:r w:rsidRPr="00472F7D">
        <w:rPr>
          <w:rFonts w:eastAsia="Times New Roman" w:cstheme="minorHAnsi"/>
        </w:rPr>
        <w:t>, including general</w:t>
      </w:r>
      <w:r w:rsidR="008C1E85" w:rsidRPr="00472F7D">
        <w:rPr>
          <w:rFonts w:eastAsia="Times New Roman" w:cstheme="minorHAnsi"/>
        </w:rPr>
        <w:t xml:space="preserve"> account</w:t>
      </w:r>
      <w:r w:rsidR="002249A6">
        <w:rPr>
          <w:rFonts w:eastAsia="Times New Roman" w:cstheme="minorHAnsi"/>
        </w:rPr>
        <w:t xml:space="preserve"> (UL)</w:t>
      </w:r>
      <w:r w:rsidR="00571E3D" w:rsidRPr="00472F7D">
        <w:rPr>
          <w:rFonts w:eastAsia="Times New Roman" w:cstheme="minorHAnsi"/>
        </w:rPr>
        <w:t>, index universal life (IUL)</w:t>
      </w:r>
      <w:r w:rsidRPr="00472F7D">
        <w:rPr>
          <w:rFonts w:eastAsia="Times New Roman" w:cstheme="minorHAnsi"/>
        </w:rPr>
        <w:t xml:space="preserve"> and separate account</w:t>
      </w:r>
      <w:r w:rsidR="008C1E85" w:rsidRPr="00472F7D">
        <w:rPr>
          <w:rFonts w:eastAsia="Times New Roman" w:cstheme="minorHAnsi"/>
        </w:rPr>
        <w:t xml:space="preserve"> products</w:t>
      </w:r>
      <w:r w:rsidR="002249A6">
        <w:rPr>
          <w:rFonts w:eastAsia="Times New Roman" w:cstheme="minorHAnsi"/>
        </w:rPr>
        <w:t xml:space="preserve"> (VUL)</w:t>
      </w:r>
      <w:r w:rsidRPr="00472F7D">
        <w:rPr>
          <w:rFonts w:eastAsia="Times New Roman" w:cstheme="minorHAnsi"/>
        </w:rPr>
        <w:t xml:space="preserve">, single </w:t>
      </w:r>
      <w:r w:rsidR="00301B2A" w:rsidRPr="00472F7D">
        <w:rPr>
          <w:rFonts w:eastAsia="Times New Roman" w:cstheme="minorHAnsi"/>
        </w:rPr>
        <w:t>life,</w:t>
      </w:r>
      <w:r w:rsidRPr="00472F7D">
        <w:rPr>
          <w:rFonts w:eastAsia="Times New Roman" w:cstheme="minorHAnsi"/>
        </w:rPr>
        <w:t xml:space="preserve"> and second-to-die (survivorship)</w:t>
      </w:r>
      <w:r w:rsidR="0049087E">
        <w:rPr>
          <w:rFonts w:eastAsia="Times New Roman" w:cstheme="minorHAnsi"/>
        </w:rPr>
        <w:t xml:space="preserve">. </w:t>
      </w:r>
      <w:r w:rsidR="0049087E" w:rsidRPr="00301B2A">
        <w:rPr>
          <w:rFonts w:eastAsia="Times New Roman" w:cstheme="minorHAnsi"/>
        </w:rPr>
        <w:t>These policies can be</w:t>
      </w:r>
      <w:r w:rsidRPr="00301B2A">
        <w:rPr>
          <w:rFonts w:eastAsia="Times New Roman" w:cstheme="minorHAnsi"/>
        </w:rPr>
        <w:t xml:space="preserve"> “</w:t>
      </w:r>
      <w:r w:rsidR="0049087E" w:rsidRPr="00301B2A">
        <w:rPr>
          <w:rFonts w:eastAsia="Times New Roman" w:cstheme="minorHAnsi"/>
        </w:rPr>
        <w:t>retail</w:t>
      </w:r>
      <w:r w:rsidRPr="00301B2A">
        <w:rPr>
          <w:rFonts w:eastAsia="Times New Roman" w:cstheme="minorHAnsi"/>
        </w:rPr>
        <w:t xml:space="preserve">” </w:t>
      </w:r>
      <w:r w:rsidR="0049087E" w:rsidRPr="00301B2A">
        <w:rPr>
          <w:rFonts w:eastAsia="Times New Roman" w:cstheme="minorHAnsi"/>
        </w:rPr>
        <w:t>or</w:t>
      </w:r>
      <w:r w:rsidRPr="00301B2A">
        <w:rPr>
          <w:rFonts w:eastAsia="Times New Roman" w:cstheme="minorHAnsi"/>
        </w:rPr>
        <w:t xml:space="preserve"> proprietary products.</w:t>
      </w:r>
      <w:r w:rsidRPr="00472F7D">
        <w:rPr>
          <w:rFonts w:eastAsia="Times New Roman" w:cstheme="minorHAnsi"/>
        </w:rPr>
        <w:t xml:space="preserve"> </w:t>
      </w:r>
      <w:r w:rsidR="00571E3D" w:rsidRPr="00472F7D">
        <w:rPr>
          <w:rFonts w:eastAsia="Times New Roman" w:cstheme="minorHAnsi"/>
        </w:rPr>
        <w:t xml:space="preserve">The decision on the </w:t>
      </w:r>
      <w:r w:rsidR="002249A6">
        <w:rPr>
          <w:rFonts w:eastAsia="Times New Roman" w:cstheme="minorHAnsi"/>
        </w:rPr>
        <w:t xml:space="preserve">type of </w:t>
      </w:r>
      <w:r w:rsidR="00571E3D" w:rsidRPr="00472F7D">
        <w:rPr>
          <w:rFonts w:eastAsia="Times New Roman" w:cstheme="minorHAnsi"/>
        </w:rPr>
        <w:t>policy is based on the executive’s objectives.</w:t>
      </w:r>
      <w:r w:rsidR="002A703D" w:rsidRPr="00472F7D">
        <w:rPr>
          <w:rFonts w:eastAsia="Times New Roman" w:cstheme="minorHAnsi"/>
        </w:rPr>
        <w:t xml:space="preserve">  </w:t>
      </w:r>
    </w:p>
    <w:p w14:paraId="06E93EB9" w14:textId="6198DE6E" w:rsidR="00571E3D" w:rsidRPr="00472F7D" w:rsidRDefault="00E81BC6" w:rsidP="002A703D">
      <w:pPr>
        <w:spacing w:after="100" w:afterAutospacing="1" w:line="276" w:lineRule="auto"/>
        <w:rPr>
          <w:rFonts w:eastAsia="Times New Roman" w:cstheme="minorHAnsi"/>
        </w:rPr>
      </w:pPr>
      <w:r w:rsidRPr="00472F7D">
        <w:rPr>
          <w:rFonts w:eastAsia="Times New Roman" w:cstheme="minorHAnsi"/>
          <w:b/>
          <w:bCs/>
        </w:rPr>
        <w:t>General and separate account.</w:t>
      </w:r>
      <w:r w:rsidRPr="00472F7D">
        <w:rPr>
          <w:rFonts w:eastAsia="Times New Roman" w:cstheme="minorHAnsi"/>
          <w:b/>
          <w:bCs/>
          <w:i/>
          <w:iCs/>
        </w:rPr>
        <w:t xml:space="preserve"> </w:t>
      </w:r>
      <w:r w:rsidRPr="00472F7D">
        <w:rPr>
          <w:rFonts w:eastAsia="Times New Roman" w:cstheme="minorHAnsi"/>
        </w:rPr>
        <w:t xml:space="preserve">General account life insurance invests policyholder cash values in the insurance carrier’s general asset portfolio. Policyholders earn a relatively safe, bond-like return and are general creditors of the insurance company. Many carriers also maintain a segregated asset account for variable, or “separate account,” policyholder cash values. The separate account includes numerous subaccounts, or investment portfolios </w:t>
      </w:r>
      <w:r w:rsidR="002A703D" w:rsidRPr="00472F7D">
        <w:rPr>
          <w:rFonts w:eastAsia="Times New Roman" w:cstheme="minorHAnsi"/>
        </w:rPr>
        <w:t>managed</w:t>
      </w:r>
      <w:r w:rsidRPr="00472F7D">
        <w:rPr>
          <w:rFonts w:eastAsia="Times New Roman" w:cstheme="minorHAnsi"/>
        </w:rPr>
        <w:t xml:space="preserve"> by professional money managers. While</w:t>
      </w:r>
      <w:r w:rsidR="00640562">
        <w:rPr>
          <w:rFonts w:eastAsia="Times New Roman" w:cstheme="minorHAnsi"/>
        </w:rPr>
        <w:t xml:space="preserve"> you insulate</w:t>
      </w:r>
      <w:r w:rsidRPr="00472F7D">
        <w:rPr>
          <w:rFonts w:eastAsia="Times New Roman" w:cstheme="minorHAnsi"/>
        </w:rPr>
        <w:t xml:space="preserve"> the cash values from the carrier’s general creditors, policyholders assume the investment risk of their chosen asset allocation. </w:t>
      </w:r>
    </w:p>
    <w:p w14:paraId="51A628E1" w14:textId="0FD40577" w:rsidR="00571E3D" w:rsidRPr="00472F7D" w:rsidRDefault="00571E3D" w:rsidP="002A703D">
      <w:pPr>
        <w:pStyle w:val="NormalWeb"/>
        <w:shd w:val="clear" w:color="auto" w:fill="FFFFFF"/>
        <w:spacing w:line="276" w:lineRule="auto"/>
        <w:rPr>
          <w:rFonts w:ascii="Arial" w:hAnsi="Arial" w:cs="Arial"/>
          <w:sz w:val="22"/>
          <w:szCs w:val="22"/>
        </w:rPr>
      </w:pPr>
      <w:r w:rsidRPr="00472F7D">
        <w:rPr>
          <w:rFonts w:asciiTheme="minorHAnsi" w:hAnsiTheme="minorHAnsi" w:cstheme="minorHAnsi"/>
          <w:b/>
          <w:bCs/>
          <w:sz w:val="22"/>
          <w:szCs w:val="22"/>
        </w:rPr>
        <w:t>Index Universal Life</w:t>
      </w:r>
      <w:r w:rsidR="0082161F" w:rsidRPr="00472F7D">
        <w:rPr>
          <w:rFonts w:asciiTheme="minorHAnsi" w:hAnsiTheme="minorHAnsi" w:cstheme="minorHAnsi"/>
          <w:b/>
          <w:bCs/>
          <w:sz w:val="22"/>
          <w:szCs w:val="22"/>
        </w:rPr>
        <w:t xml:space="preserve"> (IUL)</w:t>
      </w:r>
      <w:r w:rsidRPr="00472F7D">
        <w:rPr>
          <w:rFonts w:asciiTheme="minorHAnsi" w:hAnsiTheme="minorHAnsi" w:cstheme="minorHAnsi"/>
          <w:b/>
          <w:bCs/>
          <w:sz w:val="22"/>
          <w:szCs w:val="22"/>
        </w:rPr>
        <w:t>.</w:t>
      </w:r>
      <w:r w:rsidRPr="00472F7D">
        <w:rPr>
          <w:rFonts w:asciiTheme="minorHAnsi" w:hAnsiTheme="minorHAnsi" w:cstheme="minorHAnsi"/>
          <w:b/>
          <w:bCs/>
          <w:i/>
          <w:iCs/>
          <w:sz w:val="22"/>
          <w:szCs w:val="22"/>
        </w:rPr>
        <w:t xml:space="preserve"> </w:t>
      </w:r>
      <w:r w:rsidRPr="00472F7D">
        <w:rPr>
          <w:rFonts w:asciiTheme="minorHAnsi" w:hAnsiTheme="minorHAnsi" w:cstheme="minorHAnsi"/>
          <w:sz w:val="22"/>
          <w:szCs w:val="22"/>
        </w:rPr>
        <w:t xml:space="preserve">Indexed universal life insurance, or IUL, is a type of universal life insurance. Rather than growing </w:t>
      </w:r>
      <w:r w:rsidR="002A703D" w:rsidRPr="00472F7D">
        <w:rPr>
          <w:rFonts w:asciiTheme="minorHAnsi" w:hAnsiTheme="minorHAnsi" w:cstheme="minorHAnsi"/>
          <w:sz w:val="22"/>
          <w:szCs w:val="22"/>
        </w:rPr>
        <w:t xml:space="preserve">the account </w:t>
      </w:r>
      <w:r w:rsidRPr="00472F7D">
        <w:rPr>
          <w:rFonts w:asciiTheme="minorHAnsi" w:hAnsiTheme="minorHAnsi" w:cstheme="minorHAnsi"/>
          <w:sz w:val="22"/>
          <w:szCs w:val="22"/>
        </w:rPr>
        <w:t xml:space="preserve">based on a fixed interest rate </w:t>
      </w:r>
      <w:r w:rsidR="008C1E85" w:rsidRPr="00472F7D">
        <w:rPr>
          <w:rFonts w:asciiTheme="minorHAnsi" w:hAnsiTheme="minorHAnsi" w:cstheme="minorHAnsi"/>
          <w:sz w:val="22"/>
          <w:szCs w:val="22"/>
        </w:rPr>
        <w:t xml:space="preserve">or </w:t>
      </w:r>
      <w:r w:rsidR="002249A6">
        <w:rPr>
          <w:rFonts w:asciiTheme="minorHAnsi" w:hAnsiTheme="minorHAnsi" w:cstheme="minorHAnsi"/>
          <w:sz w:val="22"/>
          <w:szCs w:val="22"/>
        </w:rPr>
        <w:t>the variable results offered by a separate account allocation</w:t>
      </w:r>
      <w:r w:rsidR="008C1E85" w:rsidRPr="00472F7D">
        <w:rPr>
          <w:rFonts w:asciiTheme="minorHAnsi" w:hAnsiTheme="minorHAnsi" w:cstheme="minorHAnsi"/>
          <w:sz w:val="22"/>
          <w:szCs w:val="22"/>
        </w:rPr>
        <w:t xml:space="preserve">, the investment return </w:t>
      </w:r>
      <w:r w:rsidR="002249A6">
        <w:rPr>
          <w:rFonts w:asciiTheme="minorHAnsi" w:hAnsiTheme="minorHAnsi" w:cstheme="minorHAnsi"/>
          <w:sz w:val="22"/>
          <w:szCs w:val="22"/>
        </w:rPr>
        <w:t>is</w:t>
      </w:r>
      <w:r w:rsidRPr="00472F7D">
        <w:rPr>
          <w:rFonts w:asciiTheme="minorHAnsi" w:hAnsiTheme="minorHAnsi" w:cstheme="minorHAnsi"/>
          <w:sz w:val="22"/>
          <w:szCs w:val="22"/>
        </w:rPr>
        <w:t xml:space="preserve"> to the performance of</w:t>
      </w:r>
      <w:r w:rsidR="0082161F" w:rsidRPr="00472F7D">
        <w:rPr>
          <w:rFonts w:asciiTheme="minorHAnsi" w:hAnsiTheme="minorHAnsi" w:cstheme="minorHAnsi"/>
          <w:sz w:val="22"/>
          <w:szCs w:val="22"/>
        </w:rPr>
        <w:t xml:space="preserve"> a market index,</w:t>
      </w:r>
      <w:r w:rsidRPr="00472F7D">
        <w:rPr>
          <w:rFonts w:asciiTheme="minorHAnsi" w:hAnsiTheme="minorHAnsi" w:cstheme="minorHAnsi"/>
          <w:sz w:val="22"/>
          <w:szCs w:val="22"/>
        </w:rPr>
        <w:t xml:space="preserve"> like the S&amp;P 500</w:t>
      </w:r>
      <w:r w:rsidR="002249A6">
        <w:rPr>
          <w:rFonts w:ascii="Arial" w:hAnsi="Arial" w:cs="Arial"/>
          <w:sz w:val="22"/>
          <w:szCs w:val="22"/>
        </w:rPr>
        <w:t>.</w:t>
      </w:r>
    </w:p>
    <w:p w14:paraId="73F97751" w14:textId="105419A6" w:rsidR="00E81BC6" w:rsidRPr="00472F7D" w:rsidRDefault="002249A6" w:rsidP="002A703D">
      <w:pPr>
        <w:pStyle w:val="NormalWeb"/>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However, u</w:t>
      </w:r>
      <w:r w:rsidR="00571E3D" w:rsidRPr="00472F7D">
        <w:rPr>
          <w:rFonts w:asciiTheme="minorHAnsi" w:hAnsiTheme="minorHAnsi" w:cstheme="minorHAnsi"/>
          <w:sz w:val="22"/>
          <w:szCs w:val="22"/>
        </w:rPr>
        <w:t xml:space="preserve">nlike investing directly in an index fund, </w:t>
      </w:r>
      <w:r>
        <w:rPr>
          <w:rFonts w:asciiTheme="minorHAnsi" w:hAnsiTheme="minorHAnsi" w:cstheme="minorHAnsi"/>
          <w:sz w:val="22"/>
          <w:szCs w:val="22"/>
        </w:rPr>
        <w:t xml:space="preserve">the crediting rate earned in an IUL policy has a Floor, or minimum rate.  This Floor is typically 0% or 1%, so if the underlying index that’s being tracked is negative for the period, the crediting rate will be no less than the Floor. </w:t>
      </w:r>
      <w:r w:rsidR="00571E3D" w:rsidRPr="00472F7D">
        <w:rPr>
          <w:rFonts w:asciiTheme="minorHAnsi" w:hAnsiTheme="minorHAnsi" w:cstheme="minorHAnsi"/>
          <w:sz w:val="22"/>
          <w:szCs w:val="22"/>
        </w:rPr>
        <w:t xml:space="preserve"> On the other hand, </w:t>
      </w:r>
      <w:r>
        <w:rPr>
          <w:rFonts w:asciiTheme="minorHAnsi" w:hAnsiTheme="minorHAnsi" w:cstheme="minorHAnsi"/>
          <w:sz w:val="22"/>
          <w:szCs w:val="22"/>
        </w:rPr>
        <w:t xml:space="preserve">in exchange for downside protection, </w:t>
      </w:r>
      <w:r w:rsidR="00472F7D" w:rsidRPr="00472F7D">
        <w:rPr>
          <w:rFonts w:asciiTheme="minorHAnsi" w:hAnsiTheme="minorHAnsi" w:cstheme="minorHAnsi"/>
          <w:sz w:val="22"/>
          <w:szCs w:val="22"/>
        </w:rPr>
        <w:t>there is</w:t>
      </w:r>
      <w:r w:rsidR="00571E3D" w:rsidRPr="00472F7D">
        <w:rPr>
          <w:rFonts w:asciiTheme="minorHAnsi" w:hAnsiTheme="minorHAnsi" w:cstheme="minorHAnsi"/>
          <w:sz w:val="22"/>
          <w:szCs w:val="22"/>
        </w:rPr>
        <w:t xml:space="preserve"> usually a cap on the maximum return you can earn</w:t>
      </w:r>
      <w:r w:rsidR="0082161F" w:rsidRPr="00472F7D">
        <w:rPr>
          <w:rFonts w:asciiTheme="minorHAnsi" w:hAnsiTheme="minorHAnsi" w:cstheme="minorHAnsi"/>
          <w:sz w:val="22"/>
          <w:szCs w:val="22"/>
        </w:rPr>
        <w:t xml:space="preserve"> (i.e.</w:t>
      </w:r>
      <w:r w:rsidR="00640562">
        <w:rPr>
          <w:rFonts w:asciiTheme="minorHAnsi" w:hAnsiTheme="minorHAnsi" w:cstheme="minorHAnsi"/>
          <w:sz w:val="22"/>
          <w:szCs w:val="22"/>
        </w:rPr>
        <w:t>,</w:t>
      </w:r>
      <w:r w:rsidR="0082161F" w:rsidRPr="00472F7D">
        <w:rPr>
          <w:rFonts w:asciiTheme="minorHAnsi" w:hAnsiTheme="minorHAnsi" w:cstheme="minorHAnsi"/>
          <w:sz w:val="22"/>
          <w:szCs w:val="22"/>
        </w:rPr>
        <w:t xml:space="preserve"> floor of 1% with </w:t>
      </w:r>
      <w:r w:rsidR="00640562">
        <w:rPr>
          <w:rFonts w:asciiTheme="minorHAnsi" w:hAnsiTheme="minorHAnsi" w:cstheme="minorHAnsi"/>
          <w:sz w:val="22"/>
          <w:szCs w:val="22"/>
        </w:rPr>
        <w:t xml:space="preserve">a </w:t>
      </w:r>
      <w:r w:rsidR="0082161F" w:rsidRPr="00472F7D">
        <w:rPr>
          <w:rFonts w:asciiTheme="minorHAnsi" w:hAnsiTheme="minorHAnsi" w:cstheme="minorHAnsi"/>
          <w:sz w:val="22"/>
          <w:szCs w:val="22"/>
        </w:rPr>
        <w:t>cap of 9.5%)</w:t>
      </w:r>
      <w:r w:rsidR="00571E3D" w:rsidRPr="00472F7D">
        <w:rPr>
          <w:rFonts w:asciiTheme="minorHAnsi" w:hAnsiTheme="minorHAnsi" w:cstheme="minorHAnsi"/>
          <w:sz w:val="22"/>
          <w:szCs w:val="22"/>
        </w:rPr>
        <w:t xml:space="preserve">. </w:t>
      </w:r>
      <w:r>
        <w:rPr>
          <w:rFonts w:asciiTheme="minorHAnsi" w:hAnsiTheme="minorHAnsi" w:cstheme="minorHAnsi"/>
          <w:sz w:val="22"/>
          <w:szCs w:val="22"/>
        </w:rPr>
        <w:t xml:space="preserve"> </w:t>
      </w:r>
      <w:r w:rsidR="0082161F" w:rsidRPr="00472F7D">
        <w:rPr>
          <w:rFonts w:asciiTheme="minorHAnsi" w:hAnsiTheme="minorHAnsi" w:cstheme="minorHAnsi"/>
          <w:i/>
          <w:iCs/>
          <w:sz w:val="22"/>
          <w:szCs w:val="22"/>
        </w:rPr>
        <w:t>Most NQDC Exit Strategies</w:t>
      </w:r>
      <w:r w:rsidR="00E81BC6" w:rsidRPr="00472F7D">
        <w:rPr>
          <w:rFonts w:asciiTheme="minorHAnsi" w:hAnsiTheme="minorHAnsi" w:cstheme="minorHAnsi"/>
          <w:i/>
          <w:iCs/>
          <w:sz w:val="22"/>
          <w:szCs w:val="22"/>
        </w:rPr>
        <w:t xml:space="preserve"> are typically funded with </w:t>
      </w:r>
      <w:r w:rsidR="0082161F" w:rsidRPr="00472F7D">
        <w:rPr>
          <w:rFonts w:asciiTheme="minorHAnsi" w:hAnsiTheme="minorHAnsi" w:cstheme="minorHAnsi"/>
          <w:i/>
          <w:iCs/>
          <w:sz w:val="22"/>
          <w:szCs w:val="22"/>
        </w:rPr>
        <w:t xml:space="preserve">IUL to take </w:t>
      </w:r>
      <w:r>
        <w:rPr>
          <w:rFonts w:asciiTheme="minorHAnsi" w:hAnsiTheme="minorHAnsi" w:cstheme="minorHAnsi"/>
          <w:i/>
          <w:iCs/>
          <w:sz w:val="22"/>
          <w:szCs w:val="22"/>
        </w:rPr>
        <w:t>advantage of market driven returns with downside protection.</w:t>
      </w:r>
    </w:p>
    <w:p w14:paraId="4463442E" w14:textId="085E8DBA" w:rsidR="00E81BC6" w:rsidRPr="00472F7D" w:rsidRDefault="00E81BC6" w:rsidP="002A703D">
      <w:pPr>
        <w:spacing w:after="100" w:afterAutospacing="1" w:line="276" w:lineRule="auto"/>
        <w:rPr>
          <w:rFonts w:eastAsia="Times New Roman" w:cstheme="minorHAnsi"/>
        </w:rPr>
      </w:pPr>
      <w:r w:rsidRPr="00472F7D">
        <w:rPr>
          <w:rFonts w:eastAsia="Times New Roman" w:cstheme="minorHAnsi"/>
          <w:b/>
          <w:bCs/>
        </w:rPr>
        <w:t>Single life and survivorship.</w:t>
      </w:r>
      <w:r w:rsidRPr="00472F7D">
        <w:rPr>
          <w:rFonts w:eastAsia="Times New Roman" w:cstheme="minorHAnsi"/>
          <w:b/>
          <w:bCs/>
          <w:i/>
          <w:iCs/>
        </w:rPr>
        <w:t xml:space="preserve"> </w:t>
      </w:r>
      <w:r w:rsidRPr="00472F7D">
        <w:rPr>
          <w:rFonts w:eastAsia="Times New Roman" w:cstheme="minorHAnsi"/>
        </w:rPr>
        <w:t xml:space="preserve">A married participant may choose to insure his or her spouse’s life as well, to reduce the policy’s insurance costs. In addition, death proceeds at the second death will coincide with the largest estate transfer costs, providing funds to help beneficiaries pay estate taxes on other assets. </w:t>
      </w:r>
    </w:p>
    <w:p w14:paraId="2F3B65F7" w14:textId="738D4019" w:rsidR="00E81BC6" w:rsidRPr="00472F7D" w:rsidRDefault="00E81BC6" w:rsidP="002A703D">
      <w:pPr>
        <w:spacing w:after="100" w:afterAutospacing="1" w:line="276" w:lineRule="auto"/>
        <w:rPr>
          <w:rFonts w:eastAsia="Times New Roman" w:cstheme="minorHAnsi"/>
        </w:rPr>
      </w:pPr>
      <w:r w:rsidRPr="00472F7D">
        <w:rPr>
          <w:rFonts w:eastAsia="Times New Roman" w:cstheme="minorHAnsi"/>
          <w:b/>
          <w:bCs/>
        </w:rPr>
        <w:t>Proprietary insurance products.</w:t>
      </w:r>
      <w:r w:rsidRPr="00472F7D">
        <w:rPr>
          <w:rFonts w:eastAsia="Times New Roman" w:cstheme="minorHAnsi"/>
          <w:b/>
          <w:bCs/>
          <w:i/>
          <w:iCs/>
        </w:rPr>
        <w:t xml:space="preserve"> </w:t>
      </w:r>
      <w:r w:rsidRPr="00472F7D">
        <w:rPr>
          <w:rFonts w:eastAsia="Times New Roman" w:cstheme="minorHAnsi"/>
        </w:rPr>
        <w:t>When buying life insurance, executive and corporate insurance buyers generally have superior purchasing power. A</w:t>
      </w:r>
      <w:r w:rsidR="00640562">
        <w:rPr>
          <w:rFonts w:eastAsia="Times New Roman" w:cstheme="minorHAnsi"/>
        </w:rPr>
        <w:t>n</w:t>
      </w:r>
      <w:r w:rsidRPr="00472F7D">
        <w:rPr>
          <w:rFonts w:eastAsia="Times New Roman" w:cstheme="minorHAnsi"/>
        </w:rPr>
        <w:t xml:space="preserve"> </w:t>
      </w:r>
      <w:r w:rsidR="0082161F" w:rsidRPr="00472F7D">
        <w:rPr>
          <w:rFonts w:eastAsia="Times New Roman" w:cstheme="minorHAnsi"/>
        </w:rPr>
        <w:t>NQDC Exit Strategy</w:t>
      </w:r>
      <w:r w:rsidRPr="00472F7D">
        <w:rPr>
          <w:rFonts w:eastAsia="Times New Roman" w:cstheme="minorHAnsi"/>
        </w:rPr>
        <w:t xml:space="preserve"> participant should be eligible for institutionally priced products designed specifically for this market. These products have lower insurance charges and lower loads than off-the-shelf products sold to the mass market. </w:t>
      </w:r>
      <w:r w:rsidR="0082161F" w:rsidRPr="00472F7D">
        <w:rPr>
          <w:rFonts w:eastAsia="Times New Roman" w:cstheme="minorHAnsi"/>
        </w:rPr>
        <w:t>They also have high early year cash values to be used as collateral for the premium financed loan.</w:t>
      </w:r>
    </w:p>
    <w:p w14:paraId="04466CBD" w14:textId="38FE75EC" w:rsidR="00472F7D" w:rsidRPr="003D749D" w:rsidRDefault="00E81BC6" w:rsidP="003D749D">
      <w:pPr>
        <w:spacing w:after="100" w:afterAutospacing="1" w:line="276" w:lineRule="auto"/>
        <w:rPr>
          <w:rFonts w:eastAsia="Times New Roman" w:cstheme="minorHAnsi"/>
        </w:rPr>
      </w:pPr>
      <w:r w:rsidRPr="00472F7D">
        <w:rPr>
          <w:rFonts w:eastAsia="Times New Roman" w:cstheme="minorHAnsi"/>
          <w:b/>
          <w:bCs/>
        </w:rPr>
        <w:t>Funding strategy.</w:t>
      </w:r>
      <w:r w:rsidRPr="00472F7D">
        <w:rPr>
          <w:rFonts w:eastAsia="Times New Roman" w:cstheme="minorHAnsi"/>
          <w:b/>
          <w:bCs/>
          <w:i/>
          <w:iCs/>
        </w:rPr>
        <w:t xml:space="preserve"> </w:t>
      </w:r>
      <w:r w:rsidRPr="00472F7D">
        <w:rPr>
          <w:rFonts w:eastAsia="Times New Roman" w:cstheme="minorHAnsi"/>
        </w:rPr>
        <w:t xml:space="preserve">Funding the insurance contract at the maximum (seven-pay) premium level enhances performance by minimizing annual mortality costs. Depending on the participant’s age, this strategy usually produces higher death proceeds at life expectancy. An appropriate insurance contract should have </w:t>
      </w:r>
      <w:r w:rsidR="00472F7D" w:rsidRPr="00472F7D">
        <w:rPr>
          <w:rFonts w:eastAsia="Times New Roman" w:cstheme="minorHAnsi"/>
        </w:rPr>
        <w:t>exceedingly high</w:t>
      </w:r>
      <w:r w:rsidRPr="00472F7D">
        <w:rPr>
          <w:rFonts w:eastAsia="Times New Roman" w:cstheme="minorHAnsi"/>
        </w:rPr>
        <w:t xml:space="preserve"> first-year cash values and no surrender charge. </w:t>
      </w:r>
    </w:p>
    <w:p w14:paraId="1775521C" w14:textId="77777777" w:rsidR="00301B2A" w:rsidRDefault="00301B2A" w:rsidP="00E81BC6">
      <w:pPr>
        <w:spacing w:after="100" w:afterAutospacing="1" w:line="240" w:lineRule="auto"/>
        <w:rPr>
          <w:rFonts w:ascii="Arial Black" w:eastAsia="Times New Roman" w:hAnsi="Arial Black" w:cstheme="minorHAnsi"/>
          <w:b/>
          <w:bCs/>
        </w:rPr>
      </w:pPr>
    </w:p>
    <w:p w14:paraId="291118F4" w14:textId="3ED89FC0" w:rsidR="00E81BC6" w:rsidRPr="00472F7D" w:rsidRDefault="00472F7D" w:rsidP="00E81BC6">
      <w:pPr>
        <w:spacing w:after="100" w:afterAutospacing="1" w:line="240" w:lineRule="auto"/>
        <w:rPr>
          <w:rFonts w:ascii="Arial Black" w:eastAsia="Times New Roman" w:hAnsi="Arial Black" w:cstheme="minorHAnsi"/>
          <w:b/>
          <w:bCs/>
        </w:rPr>
      </w:pPr>
      <w:r w:rsidRPr="00472F7D">
        <w:rPr>
          <w:rFonts w:ascii="Arial Black" w:eastAsia="Times New Roman" w:hAnsi="Arial Black" w:cstheme="minorHAnsi"/>
          <w:b/>
          <w:bCs/>
        </w:rPr>
        <w:t xml:space="preserve">Tax Considerations </w:t>
      </w:r>
    </w:p>
    <w:p w14:paraId="64DD4C00" w14:textId="0568AABC" w:rsidR="0082161F" w:rsidRDefault="009944B6" w:rsidP="00E81BC6">
      <w:pPr>
        <w:spacing w:after="100" w:afterAutospacing="1" w:line="240" w:lineRule="auto"/>
        <w:rPr>
          <w:rFonts w:eastAsia="Times New Roman" w:cstheme="minorHAnsi"/>
        </w:rPr>
      </w:pPr>
      <w:r w:rsidRPr="00472F7D">
        <w:rPr>
          <w:rFonts w:eastAsia="Times New Roman" w:cstheme="minorHAnsi"/>
        </w:rPr>
        <w:t>The NQDC Exit Strategy is powered by life insurance for it</w:t>
      </w:r>
      <w:r w:rsidR="00472F7D">
        <w:rPr>
          <w:rFonts w:eastAsia="Times New Roman" w:cstheme="minorHAnsi"/>
        </w:rPr>
        <w:t>s</w:t>
      </w:r>
      <w:r w:rsidRPr="00472F7D">
        <w:rPr>
          <w:rFonts w:eastAsia="Times New Roman" w:cstheme="minorHAnsi"/>
        </w:rPr>
        <w:t xml:space="preserve"> tax advantages.</w:t>
      </w:r>
    </w:p>
    <w:p w14:paraId="1B6A8EF8" w14:textId="5F956FC8" w:rsidR="002249A6" w:rsidRPr="000C2EFB" w:rsidRDefault="002249A6" w:rsidP="000C4938">
      <w:pPr>
        <w:pStyle w:val="ListParagraph"/>
        <w:numPr>
          <w:ilvl w:val="0"/>
          <w:numId w:val="20"/>
        </w:numPr>
        <w:spacing w:before="240" w:after="240" w:line="240" w:lineRule="auto"/>
        <w:contextualSpacing w:val="0"/>
        <w:rPr>
          <w:rFonts w:eastAsia="Times New Roman" w:cstheme="minorHAnsi"/>
          <w:b/>
          <w:bCs/>
          <w:color w:val="4472C4" w:themeColor="accent1"/>
        </w:rPr>
      </w:pPr>
      <w:r w:rsidRPr="000C2EFB">
        <w:rPr>
          <w:rFonts w:eastAsia="Times New Roman" w:cstheme="minorHAnsi"/>
          <w:b/>
          <w:bCs/>
          <w:color w:val="4472C4" w:themeColor="accent1"/>
        </w:rPr>
        <w:t>The death benefit is generally paid out income tax-free; if designed for wealth transfer planning, it could be estate tax-free as well.</w:t>
      </w:r>
    </w:p>
    <w:p w14:paraId="02EE3A08" w14:textId="08135E18" w:rsidR="002249A6" w:rsidRPr="000C2EFB" w:rsidRDefault="002249A6" w:rsidP="000C4938">
      <w:pPr>
        <w:pStyle w:val="ListParagraph"/>
        <w:numPr>
          <w:ilvl w:val="0"/>
          <w:numId w:val="20"/>
        </w:numPr>
        <w:spacing w:before="240" w:after="240" w:line="240" w:lineRule="auto"/>
        <w:contextualSpacing w:val="0"/>
        <w:rPr>
          <w:rFonts w:eastAsia="Times New Roman" w:cstheme="minorHAnsi"/>
          <w:b/>
          <w:bCs/>
          <w:color w:val="4472C4" w:themeColor="accent1"/>
        </w:rPr>
      </w:pPr>
      <w:r w:rsidRPr="000C2EFB">
        <w:rPr>
          <w:rFonts w:eastAsia="Times New Roman" w:cstheme="minorHAnsi"/>
          <w:b/>
          <w:bCs/>
          <w:color w:val="4472C4" w:themeColor="accent1"/>
        </w:rPr>
        <w:t>The total cash value accumulates on a tax-deferred basis.</w:t>
      </w:r>
    </w:p>
    <w:p w14:paraId="48F20420" w14:textId="48B5333F" w:rsidR="00B545FC" w:rsidRDefault="00B545FC" w:rsidP="00B545FC">
      <w:pPr>
        <w:pStyle w:val="NormalWeb"/>
        <w:shd w:val="clear" w:color="auto" w:fill="FBFBFB"/>
        <w:rPr>
          <w:rFonts w:asciiTheme="minorHAnsi" w:hAnsiTheme="minorHAnsi" w:cstheme="minorHAnsi"/>
          <w:sz w:val="22"/>
          <w:szCs w:val="22"/>
        </w:rPr>
      </w:pPr>
      <w:r w:rsidRPr="00472F7D">
        <w:rPr>
          <w:rFonts w:asciiTheme="minorHAnsi" w:hAnsiTheme="minorHAnsi" w:cstheme="minorHAnsi"/>
          <w:sz w:val="22"/>
          <w:szCs w:val="22"/>
        </w:rPr>
        <w:t>Life insurance builds</w:t>
      </w:r>
      <w:r w:rsidR="00472F7D" w:rsidRPr="00472F7D">
        <w:rPr>
          <w:rFonts w:asciiTheme="minorHAnsi" w:hAnsiTheme="minorHAnsi" w:cstheme="minorHAnsi"/>
          <w:sz w:val="22"/>
          <w:szCs w:val="22"/>
        </w:rPr>
        <w:t xml:space="preserve"> </w:t>
      </w:r>
      <w:r w:rsidRPr="00472F7D">
        <w:rPr>
          <w:rFonts w:asciiTheme="minorHAnsi" w:hAnsiTheme="minorHAnsi" w:cstheme="minorHAnsi"/>
          <w:sz w:val="22"/>
          <w:szCs w:val="22"/>
        </w:rPr>
        <w:t>up cash value over time as you pay premiums. This</w:t>
      </w:r>
      <w:r w:rsidR="00472F7D" w:rsidRPr="00472F7D">
        <w:rPr>
          <w:rFonts w:asciiTheme="minorHAnsi" w:hAnsiTheme="minorHAnsi" w:cstheme="minorHAnsi"/>
          <w:sz w:val="22"/>
          <w:szCs w:val="22"/>
        </w:rPr>
        <w:t xml:space="preserve"> build-up</w:t>
      </w:r>
      <w:r w:rsidRPr="00472F7D">
        <w:rPr>
          <w:rFonts w:asciiTheme="minorHAnsi" w:hAnsiTheme="minorHAnsi" w:cstheme="minorHAnsi"/>
          <w:sz w:val="22"/>
          <w:szCs w:val="22"/>
        </w:rPr>
        <w:t xml:space="preserve"> is money that grows without the IRS taking a bite. And it can become an important asset for your future retirement.</w:t>
      </w:r>
    </w:p>
    <w:p w14:paraId="59CEAE4B" w14:textId="77777777" w:rsidR="000C4938" w:rsidRPr="000C2EFB" w:rsidRDefault="000C4938" w:rsidP="000C4938">
      <w:pPr>
        <w:pStyle w:val="ListParagraph"/>
        <w:numPr>
          <w:ilvl w:val="0"/>
          <w:numId w:val="20"/>
        </w:numPr>
        <w:spacing w:before="240" w:after="240" w:line="240" w:lineRule="auto"/>
        <w:contextualSpacing w:val="0"/>
        <w:rPr>
          <w:rFonts w:eastAsia="Times New Roman" w:cstheme="minorHAnsi"/>
          <w:b/>
          <w:bCs/>
          <w:color w:val="4472C4" w:themeColor="accent1"/>
        </w:rPr>
      </w:pPr>
      <w:r w:rsidRPr="000C2EFB">
        <w:rPr>
          <w:rFonts w:eastAsia="Times New Roman" w:cstheme="minorHAnsi"/>
          <w:b/>
          <w:bCs/>
          <w:color w:val="4472C4" w:themeColor="accent1"/>
        </w:rPr>
        <w:t>You can access the value of the policy on a tax-advantaged basis.</w:t>
      </w:r>
    </w:p>
    <w:p w14:paraId="7FFB8502" w14:textId="27D6EB08" w:rsidR="00B545FC" w:rsidRPr="000C4938" w:rsidRDefault="00B545FC" w:rsidP="000C4938">
      <w:pPr>
        <w:spacing w:before="240" w:after="240" w:line="240" w:lineRule="auto"/>
        <w:rPr>
          <w:rFonts w:cstheme="minorHAnsi"/>
        </w:rPr>
      </w:pPr>
      <w:r w:rsidRPr="000C4938">
        <w:rPr>
          <w:rFonts w:cstheme="minorHAnsi"/>
        </w:rPr>
        <w:t>Money borrowed or taken from the cash value of a life insurance policy is not subject to taxes up to the “cost basis”</w:t>
      </w:r>
      <w:r w:rsidR="006A3262" w:rsidRPr="000C4938">
        <w:rPr>
          <w:rFonts w:ascii="Arial" w:hAnsi="Arial" w:cs="Arial"/>
        </w:rPr>
        <w:t>—</w:t>
      </w:r>
      <w:r w:rsidRPr="000C4938">
        <w:rPr>
          <w:rFonts w:cstheme="minorHAnsi"/>
        </w:rPr>
        <w:t xml:space="preserve"> the amount paid into the policy through premiums.</w:t>
      </w:r>
    </w:p>
    <w:p w14:paraId="50D426F7" w14:textId="0CE0F9E5" w:rsidR="00B545FC" w:rsidRPr="000C4938" w:rsidRDefault="00B545FC" w:rsidP="000C4938">
      <w:pPr>
        <w:spacing w:before="240" w:after="240" w:line="240" w:lineRule="auto"/>
        <w:rPr>
          <w:rFonts w:cstheme="minorHAnsi"/>
        </w:rPr>
      </w:pPr>
      <w:r w:rsidRPr="000C4938">
        <w:rPr>
          <w:rFonts w:cstheme="minorHAnsi"/>
        </w:rPr>
        <w:t xml:space="preserve">To understand how this works, take our </w:t>
      </w:r>
      <w:r w:rsidR="006A3262" w:rsidRPr="000C4938">
        <w:rPr>
          <w:rFonts w:cstheme="minorHAnsi"/>
        </w:rPr>
        <w:t xml:space="preserve">earlier </w:t>
      </w:r>
      <w:r w:rsidRPr="000C4938">
        <w:rPr>
          <w:rFonts w:cstheme="minorHAnsi"/>
        </w:rPr>
        <w:t>hypothetical case of Bob</w:t>
      </w:r>
      <w:r w:rsidR="006A3262" w:rsidRPr="000C4938">
        <w:rPr>
          <w:rFonts w:cstheme="minorHAnsi"/>
        </w:rPr>
        <w:t xml:space="preserve"> Smith</w:t>
      </w:r>
      <w:r w:rsidR="00640562" w:rsidRPr="000C4938">
        <w:rPr>
          <w:rFonts w:cstheme="minorHAnsi"/>
        </w:rPr>
        <w:t>,</w:t>
      </w:r>
      <w:r w:rsidRPr="000C4938">
        <w:rPr>
          <w:rFonts w:cstheme="minorHAnsi"/>
        </w:rPr>
        <w:t xml:space="preserve"> who purchased his IUL policy as part of the NQDC Exit Strategy.</w:t>
      </w:r>
      <w:r w:rsidR="006A3262" w:rsidRPr="000C4938">
        <w:rPr>
          <w:rFonts w:cstheme="minorHAnsi"/>
        </w:rPr>
        <w:t xml:space="preserve"> </w:t>
      </w:r>
      <w:r w:rsidRPr="000C4938">
        <w:rPr>
          <w:rFonts w:cstheme="minorHAnsi"/>
        </w:rPr>
        <w:t>There are a couple of ways that Bob could access his policy cash value during retirement:</w:t>
      </w:r>
    </w:p>
    <w:p w14:paraId="428CEE71" w14:textId="746C2CCB" w:rsidR="006A3262" w:rsidRPr="000C4938" w:rsidRDefault="00B545FC" w:rsidP="000C4938">
      <w:pPr>
        <w:pStyle w:val="ListParagraph"/>
        <w:numPr>
          <w:ilvl w:val="0"/>
          <w:numId w:val="22"/>
        </w:numPr>
        <w:spacing w:before="240" w:after="240" w:line="240" w:lineRule="auto"/>
        <w:contextualSpacing w:val="0"/>
        <w:rPr>
          <w:rFonts w:cstheme="minorHAnsi"/>
        </w:rPr>
      </w:pPr>
      <w:r w:rsidRPr="000C4938">
        <w:rPr>
          <w:rFonts w:cstheme="minorHAnsi"/>
        </w:rPr>
        <w:t xml:space="preserve">First, </w:t>
      </w:r>
      <w:r w:rsidR="006A3262" w:rsidRPr="000C4938">
        <w:rPr>
          <w:rFonts w:cstheme="minorHAnsi"/>
        </w:rPr>
        <w:t>Bob</w:t>
      </w:r>
      <w:r w:rsidRPr="000C4938">
        <w:rPr>
          <w:rFonts w:cstheme="minorHAnsi"/>
        </w:rPr>
        <w:t xml:space="preserve"> has a cost basis in his policy of $3,464,270 (the total premiums he paid</w:t>
      </w:r>
      <w:r w:rsidR="000C4938">
        <w:rPr>
          <w:rFonts w:cstheme="minorHAnsi"/>
        </w:rPr>
        <w:t xml:space="preserve"> of</w:t>
      </w:r>
      <w:r w:rsidRPr="000C4938">
        <w:rPr>
          <w:rFonts w:cstheme="minorHAnsi"/>
        </w:rPr>
        <w:t xml:space="preserve"> $692,854 for </w:t>
      </w:r>
      <w:r w:rsidR="006A3262" w:rsidRPr="000C4938">
        <w:rPr>
          <w:rFonts w:cstheme="minorHAnsi"/>
        </w:rPr>
        <w:t>five</w:t>
      </w:r>
      <w:r w:rsidRPr="000C4938">
        <w:rPr>
          <w:rFonts w:cstheme="minorHAnsi"/>
        </w:rPr>
        <w:t xml:space="preserve"> years). He could take a partial surrender of the cash value from his policy up to this amount, and it would be income-tax fre</w:t>
      </w:r>
      <w:r w:rsidR="006A3262" w:rsidRPr="000C4938">
        <w:rPr>
          <w:rFonts w:cstheme="minorHAnsi"/>
        </w:rPr>
        <w:t>e.</w:t>
      </w:r>
    </w:p>
    <w:p w14:paraId="523DE244" w14:textId="667121BB" w:rsidR="00B545FC" w:rsidRPr="000C4938" w:rsidRDefault="00640562" w:rsidP="000C4938">
      <w:pPr>
        <w:pStyle w:val="ListParagraph"/>
        <w:numPr>
          <w:ilvl w:val="0"/>
          <w:numId w:val="22"/>
        </w:numPr>
        <w:spacing w:before="240" w:after="240" w:line="240" w:lineRule="auto"/>
        <w:contextualSpacing w:val="0"/>
        <w:rPr>
          <w:rFonts w:cstheme="minorHAnsi"/>
        </w:rPr>
      </w:pPr>
      <w:r w:rsidRPr="000C4938">
        <w:rPr>
          <w:rFonts w:cstheme="minorHAnsi"/>
        </w:rPr>
        <w:t>What’s more</w:t>
      </w:r>
      <w:r w:rsidR="00B545FC" w:rsidRPr="000C4938">
        <w:rPr>
          <w:rFonts w:cstheme="minorHAnsi"/>
        </w:rPr>
        <w:t xml:space="preserve">, Bob has the option to borrow against his cash value at any time. The amount borrowed will not be taxable as income, even if it is </w:t>
      </w:r>
      <w:r w:rsidR="006A3262" w:rsidRPr="000C4938">
        <w:rPr>
          <w:rFonts w:cstheme="minorHAnsi"/>
        </w:rPr>
        <w:t>more than</w:t>
      </w:r>
      <w:r w:rsidR="00B545FC" w:rsidRPr="000C4938">
        <w:rPr>
          <w:rFonts w:cstheme="minorHAnsi"/>
        </w:rPr>
        <w:t xml:space="preserve"> his cost basis.</w:t>
      </w:r>
      <w:r w:rsidR="009A154D" w:rsidRPr="000C4938">
        <w:rPr>
          <w:rFonts w:cstheme="minorHAnsi"/>
        </w:rPr>
        <w:t xml:space="preserve"> Unlike bank loans, you </w:t>
      </w:r>
      <w:r w:rsidR="006A3262" w:rsidRPr="000C4938">
        <w:rPr>
          <w:rFonts w:cstheme="minorHAnsi"/>
        </w:rPr>
        <w:t>do not</w:t>
      </w:r>
      <w:r w:rsidR="009A154D" w:rsidRPr="000C4938">
        <w:rPr>
          <w:rFonts w:cstheme="minorHAnsi"/>
        </w:rPr>
        <w:t xml:space="preserve"> have to pay them back</w:t>
      </w:r>
      <w:r w:rsidR="006A3262" w:rsidRPr="000C4938">
        <w:rPr>
          <w:rFonts w:cstheme="minorHAnsi"/>
        </w:rPr>
        <w:t xml:space="preserve">; </w:t>
      </w:r>
      <w:r w:rsidR="009A154D" w:rsidRPr="000C4938">
        <w:rPr>
          <w:rFonts w:cstheme="minorHAnsi"/>
        </w:rPr>
        <w:t>they simply reduce your cash value and death benefits. The insurance company charges interest on those loans, but with most policies credits back the majority of what it charges.</w:t>
      </w:r>
    </w:p>
    <w:p w14:paraId="2B609AE4" w14:textId="063DBBDA" w:rsidR="00B545FC" w:rsidRPr="00472F7D" w:rsidRDefault="00E81BC6" w:rsidP="00B545FC">
      <w:pPr>
        <w:spacing w:after="100" w:afterAutospacing="1" w:line="240" w:lineRule="auto"/>
        <w:rPr>
          <w:rFonts w:cstheme="minorHAnsi"/>
          <w:color w:val="222222"/>
          <w:shd w:val="clear" w:color="auto" w:fill="FFFFFF"/>
        </w:rPr>
      </w:pPr>
      <w:r w:rsidRPr="006A3262">
        <w:rPr>
          <w:rFonts w:eastAsia="Times New Roman" w:cstheme="minorHAnsi"/>
          <w:b/>
          <w:bCs/>
        </w:rPr>
        <w:t xml:space="preserve">Taxation of </w:t>
      </w:r>
      <w:r w:rsidR="00B545FC" w:rsidRPr="006A3262">
        <w:rPr>
          <w:rFonts w:eastAsia="Times New Roman" w:cstheme="minorHAnsi"/>
          <w:b/>
          <w:bCs/>
        </w:rPr>
        <w:t>deferred compensation payout</w:t>
      </w:r>
      <w:r w:rsidRPr="006A3262">
        <w:rPr>
          <w:rFonts w:eastAsia="Times New Roman" w:cstheme="minorHAnsi"/>
          <w:b/>
          <w:bCs/>
        </w:rPr>
        <w:t>.</w:t>
      </w:r>
      <w:r w:rsidRPr="006A3262">
        <w:rPr>
          <w:rFonts w:eastAsia="Times New Roman" w:cstheme="minorHAnsi"/>
          <w:b/>
          <w:bCs/>
          <w:i/>
          <w:iCs/>
        </w:rPr>
        <w:t xml:space="preserve"> </w:t>
      </w:r>
      <w:r w:rsidR="00BC0813" w:rsidRPr="00472F7D">
        <w:rPr>
          <w:rFonts w:cstheme="minorHAnsi"/>
          <w:color w:val="222222"/>
          <w:shd w:val="clear" w:color="auto" w:fill="FFFFFF"/>
        </w:rPr>
        <w:t>Distributions to employees from </w:t>
      </w:r>
      <w:r w:rsidR="006A3262">
        <w:rPr>
          <w:rFonts w:cstheme="minorHAnsi"/>
          <w:color w:val="222222"/>
          <w:shd w:val="clear" w:color="auto" w:fill="FFFFFF"/>
        </w:rPr>
        <w:t>NQDC</w:t>
      </w:r>
      <w:r w:rsidR="00BC0813" w:rsidRPr="00472F7D">
        <w:rPr>
          <w:rFonts w:cstheme="minorHAnsi"/>
          <w:color w:val="222222"/>
          <w:shd w:val="clear" w:color="auto" w:fill="FFFFFF"/>
        </w:rPr>
        <w:t xml:space="preserve"> plans are considered wages subject to income tax upon distribution.</w:t>
      </w:r>
    </w:p>
    <w:p w14:paraId="23B3FA6E" w14:textId="6BC9567A" w:rsidR="009A154D" w:rsidRPr="00472F7D" w:rsidRDefault="009A154D" w:rsidP="00B545FC">
      <w:pPr>
        <w:spacing w:after="100" w:afterAutospacing="1" w:line="240" w:lineRule="auto"/>
        <w:rPr>
          <w:rFonts w:cstheme="minorHAnsi"/>
          <w:color w:val="222222"/>
          <w:shd w:val="clear" w:color="auto" w:fill="FFFFFF"/>
        </w:rPr>
      </w:pPr>
      <w:r w:rsidRPr="00472F7D">
        <w:rPr>
          <w:rFonts w:cstheme="minorHAnsi"/>
          <w:color w:val="222222"/>
          <w:shd w:val="clear" w:color="auto" w:fill="FFFFFF"/>
        </w:rPr>
        <w:t>This</w:t>
      </w:r>
      <w:r w:rsidR="006A3262">
        <w:rPr>
          <w:rFonts w:cstheme="minorHAnsi"/>
          <w:color w:val="222222"/>
          <w:shd w:val="clear" w:color="auto" w:fill="FFFFFF"/>
        </w:rPr>
        <w:t xml:space="preserve"> </w:t>
      </w:r>
      <w:r w:rsidRPr="00472F7D">
        <w:rPr>
          <w:rFonts w:cstheme="minorHAnsi"/>
          <w:color w:val="222222"/>
          <w:shd w:val="clear" w:color="auto" w:fill="FFFFFF"/>
        </w:rPr>
        <w:t>is the same tax treatment the executive would have even if they did</w:t>
      </w:r>
      <w:r w:rsidR="006A3262">
        <w:rPr>
          <w:rFonts w:cstheme="minorHAnsi"/>
          <w:color w:val="222222"/>
          <w:shd w:val="clear" w:color="auto" w:fill="FFFFFF"/>
        </w:rPr>
        <w:t xml:space="preserve"> not</w:t>
      </w:r>
      <w:r w:rsidRPr="00472F7D">
        <w:rPr>
          <w:rFonts w:cstheme="minorHAnsi"/>
          <w:color w:val="222222"/>
          <w:shd w:val="clear" w:color="auto" w:fill="FFFFFF"/>
        </w:rPr>
        <w:t xml:space="preserve"> participate in the NQDC Exit Strategy. </w:t>
      </w:r>
    </w:p>
    <w:p w14:paraId="4A02DE9F" w14:textId="24A4897D" w:rsidR="00E81BC6" w:rsidRPr="006A3262" w:rsidRDefault="006A3262" w:rsidP="006A3262">
      <w:pPr>
        <w:spacing w:after="100" w:afterAutospacing="1" w:line="276" w:lineRule="auto"/>
        <w:rPr>
          <w:rFonts w:eastAsia="Times New Roman" w:cstheme="minorHAnsi"/>
        </w:rPr>
      </w:pPr>
      <w:r>
        <w:rPr>
          <w:rFonts w:ascii="Arial Black" w:eastAsia="Times New Roman" w:hAnsi="Arial Black" w:cstheme="minorHAnsi"/>
          <w:b/>
          <w:bCs/>
          <w:sz w:val="20"/>
          <w:szCs w:val="20"/>
        </w:rPr>
        <w:t xml:space="preserve">A Deal Worth </w:t>
      </w:r>
      <w:r w:rsidR="003D749D">
        <w:rPr>
          <w:rFonts w:ascii="Arial Black" w:eastAsia="Times New Roman" w:hAnsi="Arial Black" w:cstheme="minorHAnsi"/>
          <w:b/>
          <w:bCs/>
          <w:sz w:val="20"/>
          <w:szCs w:val="20"/>
        </w:rPr>
        <w:t xml:space="preserve">Your </w:t>
      </w:r>
      <w:r>
        <w:rPr>
          <w:rFonts w:ascii="Arial Black" w:eastAsia="Times New Roman" w:hAnsi="Arial Black" w:cstheme="minorHAnsi"/>
          <w:b/>
          <w:bCs/>
          <w:sz w:val="20"/>
          <w:szCs w:val="20"/>
        </w:rPr>
        <w:t>Consideration</w:t>
      </w:r>
      <w:r w:rsidR="00E81BC6" w:rsidRPr="006A3262">
        <w:rPr>
          <w:rFonts w:eastAsia="Times New Roman" w:cstheme="minorHAnsi"/>
          <w:b/>
          <w:bCs/>
        </w:rPr>
        <w:t xml:space="preserve"> </w:t>
      </w:r>
    </w:p>
    <w:p w14:paraId="57DFC43D" w14:textId="471BFF7A" w:rsidR="006A3262" w:rsidRPr="00640562" w:rsidRDefault="00E81BC6" w:rsidP="006A3262">
      <w:pPr>
        <w:spacing w:after="100" w:afterAutospacing="1" w:line="276" w:lineRule="auto"/>
        <w:rPr>
          <w:rFonts w:eastAsia="Times New Roman" w:cstheme="minorHAnsi"/>
        </w:rPr>
      </w:pPr>
      <w:r w:rsidRPr="00640562">
        <w:rPr>
          <w:rFonts w:eastAsia="Times New Roman" w:cstheme="minorHAnsi"/>
        </w:rPr>
        <w:t xml:space="preserve">A </w:t>
      </w:r>
      <w:r w:rsidR="00640562" w:rsidRPr="00640562">
        <w:rPr>
          <w:rFonts w:eastAsia="Times New Roman" w:cstheme="minorHAnsi"/>
        </w:rPr>
        <w:t>carefully</w:t>
      </w:r>
      <w:r w:rsidRPr="00640562">
        <w:rPr>
          <w:rFonts w:eastAsia="Times New Roman" w:cstheme="minorHAnsi"/>
        </w:rPr>
        <w:t xml:space="preserve"> structured </w:t>
      </w:r>
      <w:r w:rsidR="00BC0813" w:rsidRPr="00640562">
        <w:rPr>
          <w:rFonts w:eastAsia="Times New Roman" w:cstheme="minorHAnsi"/>
        </w:rPr>
        <w:t>NQDC Exit Strategy</w:t>
      </w:r>
      <w:r w:rsidRPr="00640562">
        <w:rPr>
          <w:rFonts w:eastAsia="Times New Roman" w:cstheme="minorHAnsi"/>
        </w:rPr>
        <w:t xml:space="preserve"> can provide a tax-efficient alternative to nonqualified benefits to accommodate an executive’s </w:t>
      </w:r>
      <w:r w:rsidR="00BC0813" w:rsidRPr="00640562">
        <w:rPr>
          <w:rFonts w:eastAsia="Times New Roman" w:cstheme="minorHAnsi"/>
        </w:rPr>
        <w:t xml:space="preserve">retirement income and </w:t>
      </w:r>
      <w:r w:rsidRPr="00640562">
        <w:rPr>
          <w:rFonts w:eastAsia="Times New Roman" w:cstheme="minorHAnsi"/>
        </w:rPr>
        <w:t xml:space="preserve">wealth transfer strategy. </w:t>
      </w:r>
      <w:r w:rsidR="009A154D" w:rsidRPr="00640562">
        <w:rPr>
          <w:rFonts w:eastAsia="Times New Roman" w:cstheme="minorHAnsi"/>
        </w:rPr>
        <w:t xml:space="preserve">This strategy can eliminate the five </w:t>
      </w:r>
      <w:r w:rsidR="00640562">
        <w:rPr>
          <w:rFonts w:eastAsia="Times New Roman" w:cstheme="minorHAnsi"/>
        </w:rPr>
        <w:t>significant</w:t>
      </w:r>
      <w:r w:rsidR="009A154D" w:rsidRPr="00640562">
        <w:rPr>
          <w:rFonts w:eastAsia="Times New Roman" w:cstheme="minorHAnsi"/>
        </w:rPr>
        <w:t xml:space="preserve"> risks of NQDC </w:t>
      </w:r>
      <w:r w:rsidR="006A3262" w:rsidRPr="00640562">
        <w:rPr>
          <w:rFonts w:eastAsia="Times New Roman" w:cstheme="minorHAnsi"/>
        </w:rPr>
        <w:t>plans and</w:t>
      </w:r>
      <w:r w:rsidR="009A154D" w:rsidRPr="00640562">
        <w:rPr>
          <w:rFonts w:eastAsia="Times New Roman" w:cstheme="minorHAnsi"/>
        </w:rPr>
        <w:t xml:space="preserve"> put the executive in control of their assets. </w:t>
      </w:r>
      <w:r w:rsidRPr="00640562">
        <w:rPr>
          <w:rFonts w:eastAsia="Times New Roman" w:cstheme="minorHAnsi"/>
        </w:rPr>
        <w:t xml:space="preserve">The </w:t>
      </w:r>
      <w:r w:rsidR="002D0363">
        <w:rPr>
          <w:rFonts w:eastAsia="Times New Roman" w:cstheme="minorHAnsi"/>
        </w:rPr>
        <w:t>E</w:t>
      </w:r>
      <w:r w:rsidR="00BC0813" w:rsidRPr="00640562">
        <w:rPr>
          <w:rFonts w:eastAsia="Times New Roman" w:cstheme="minorHAnsi"/>
        </w:rPr>
        <w:t xml:space="preserve">xit </w:t>
      </w:r>
      <w:r w:rsidR="002D0363">
        <w:rPr>
          <w:rFonts w:eastAsia="Times New Roman" w:cstheme="minorHAnsi"/>
        </w:rPr>
        <w:t>S</w:t>
      </w:r>
      <w:r w:rsidR="00BC0813" w:rsidRPr="00640562">
        <w:rPr>
          <w:rFonts w:eastAsia="Times New Roman" w:cstheme="minorHAnsi"/>
        </w:rPr>
        <w:t>trategy</w:t>
      </w:r>
      <w:r w:rsidRPr="00640562">
        <w:rPr>
          <w:rFonts w:eastAsia="Times New Roman" w:cstheme="minorHAnsi"/>
        </w:rPr>
        <w:t xml:space="preserve"> introduces important financial, tax</w:t>
      </w:r>
      <w:r w:rsidR="00640562">
        <w:rPr>
          <w:rFonts w:eastAsia="Times New Roman" w:cstheme="minorHAnsi"/>
        </w:rPr>
        <w:t>,</w:t>
      </w:r>
      <w:r w:rsidRPr="00640562">
        <w:rPr>
          <w:rFonts w:eastAsia="Times New Roman" w:cstheme="minorHAnsi"/>
        </w:rPr>
        <w:t xml:space="preserve"> and accounting considerations potential participants and outside advisers must evaluate. </w:t>
      </w:r>
    </w:p>
    <w:p w14:paraId="28C3DD1B" w14:textId="77777777" w:rsidR="00761DE1" w:rsidRPr="00761DE1" w:rsidRDefault="00761DE1" w:rsidP="006A3262">
      <w:pPr>
        <w:spacing w:before="87"/>
        <w:ind w:right="167"/>
        <w:rPr>
          <w:rFonts w:eastAsia="Candara" w:cstheme="minorHAnsi"/>
          <w:b/>
          <w:bCs/>
          <w:sz w:val="28"/>
          <w:szCs w:val="28"/>
        </w:rPr>
      </w:pPr>
      <w:r w:rsidRPr="00761DE1">
        <w:rPr>
          <w:rFonts w:eastAsia="Candara" w:cstheme="minorHAnsi"/>
          <w:b/>
          <w:bCs/>
          <w:sz w:val="28"/>
          <w:szCs w:val="28"/>
        </w:rPr>
        <w:lastRenderedPageBreak/>
        <w:t>ABOUT EBS</w:t>
      </w:r>
    </w:p>
    <w:p w14:paraId="3CACE01F" w14:textId="22A117FB" w:rsidR="006A3262" w:rsidRPr="00FC21B6" w:rsidRDefault="006A3262" w:rsidP="006A3262">
      <w:pPr>
        <w:spacing w:before="87"/>
        <w:ind w:right="167"/>
        <w:rPr>
          <w:rFonts w:eastAsia="Candara" w:cstheme="minorHAnsi"/>
        </w:rPr>
      </w:pPr>
      <w:r w:rsidRPr="008A5CD3">
        <w:rPr>
          <w:rFonts w:eastAsia="Candara" w:cstheme="minorHAnsi"/>
        </w:rPr>
        <w:t>EBS</w:t>
      </w:r>
      <w:r w:rsidRPr="008A5CD3">
        <w:rPr>
          <w:rFonts w:eastAsia="Candara" w:cstheme="minorHAnsi"/>
          <w:spacing w:val="-3"/>
        </w:rPr>
        <w:t xml:space="preserve"> </w:t>
      </w:r>
      <w:r w:rsidRPr="008A5CD3">
        <w:rPr>
          <w:rFonts w:eastAsia="Candara" w:cstheme="minorHAnsi"/>
        </w:rPr>
        <w:t>is an</w:t>
      </w:r>
      <w:r w:rsidRPr="008A5CD3">
        <w:rPr>
          <w:rFonts w:eastAsia="Candara" w:cstheme="minorHAnsi"/>
          <w:spacing w:val="-2"/>
        </w:rPr>
        <w:t xml:space="preserve"> </w:t>
      </w:r>
      <w:r w:rsidRPr="008A5CD3">
        <w:rPr>
          <w:rFonts w:eastAsia="Candara" w:cstheme="minorHAnsi"/>
        </w:rPr>
        <w:t>independent</w:t>
      </w:r>
      <w:r w:rsidRPr="008A5CD3">
        <w:rPr>
          <w:rFonts w:eastAsia="Candara" w:cstheme="minorHAnsi"/>
          <w:spacing w:val="-11"/>
        </w:rPr>
        <w:t xml:space="preserve"> </w:t>
      </w:r>
      <w:r w:rsidRPr="008A5CD3">
        <w:rPr>
          <w:rFonts w:eastAsia="Candara" w:cstheme="minorHAnsi"/>
        </w:rPr>
        <w:t>executive</w:t>
      </w:r>
      <w:r w:rsidRPr="008A5CD3">
        <w:rPr>
          <w:rFonts w:eastAsia="Candara" w:cstheme="minorHAnsi"/>
          <w:spacing w:val="-9"/>
        </w:rPr>
        <w:t xml:space="preserve"> </w:t>
      </w:r>
      <w:r w:rsidRPr="008A5CD3">
        <w:rPr>
          <w:rFonts w:eastAsia="Candara" w:cstheme="minorHAnsi"/>
        </w:rPr>
        <w:t>benefits</w:t>
      </w:r>
      <w:r w:rsidRPr="008A5CD3">
        <w:rPr>
          <w:rFonts w:eastAsia="Candara" w:cstheme="minorHAnsi"/>
          <w:spacing w:val="-8"/>
        </w:rPr>
        <w:t xml:space="preserve"> </w:t>
      </w:r>
      <w:r w:rsidRPr="008A5CD3">
        <w:rPr>
          <w:rFonts w:eastAsia="Candara" w:cstheme="minorHAnsi"/>
        </w:rPr>
        <w:t>consulting</w:t>
      </w:r>
      <w:r w:rsidRPr="008A5CD3">
        <w:rPr>
          <w:rFonts w:eastAsia="Candara" w:cstheme="minorHAnsi"/>
          <w:spacing w:val="-9"/>
        </w:rPr>
        <w:t xml:space="preserve"> </w:t>
      </w:r>
      <w:r w:rsidRPr="008A5CD3">
        <w:rPr>
          <w:rFonts w:eastAsia="Candara" w:cstheme="minorHAnsi"/>
        </w:rPr>
        <w:t>firm</w:t>
      </w:r>
      <w:r w:rsidRPr="008A5CD3">
        <w:rPr>
          <w:rFonts w:eastAsia="Candara" w:cstheme="minorHAnsi"/>
          <w:spacing w:val="-6"/>
        </w:rPr>
        <w:t xml:space="preserve"> </w:t>
      </w:r>
      <w:r w:rsidR="00761DE1">
        <w:rPr>
          <w:rFonts w:eastAsia="Candara" w:cstheme="minorHAnsi"/>
        </w:rPr>
        <w:t>which provides</w:t>
      </w:r>
      <w:r w:rsidRPr="008A5CD3">
        <w:rPr>
          <w:rFonts w:eastAsia="Candara" w:cstheme="minorHAnsi"/>
          <w:spacing w:val="-7"/>
        </w:rPr>
        <w:t xml:space="preserve"> </w:t>
      </w:r>
      <w:r w:rsidRPr="008A5CD3">
        <w:rPr>
          <w:rFonts w:eastAsia="Candara" w:cstheme="minorHAnsi"/>
        </w:rPr>
        <w:t>total</w:t>
      </w:r>
      <w:r w:rsidRPr="008A5CD3">
        <w:rPr>
          <w:rFonts w:eastAsia="Candara" w:cstheme="minorHAnsi"/>
          <w:spacing w:val="-4"/>
        </w:rPr>
        <w:t xml:space="preserve"> </w:t>
      </w:r>
      <w:r w:rsidRPr="008A5CD3">
        <w:rPr>
          <w:rFonts w:eastAsia="Candara" w:cstheme="minorHAnsi"/>
        </w:rPr>
        <w:t>plan</w:t>
      </w:r>
      <w:r w:rsidRPr="008A5CD3">
        <w:rPr>
          <w:rFonts w:eastAsia="Candara" w:cstheme="minorHAnsi"/>
          <w:spacing w:val="-4"/>
        </w:rPr>
        <w:t xml:space="preserve"> </w:t>
      </w:r>
      <w:r w:rsidRPr="008A5CD3">
        <w:rPr>
          <w:rFonts w:eastAsia="Candara" w:cstheme="minorHAnsi"/>
        </w:rPr>
        <w:t>management services</w:t>
      </w:r>
      <w:r w:rsidRPr="008A5CD3">
        <w:rPr>
          <w:rFonts w:eastAsia="Candara" w:cstheme="minorHAnsi"/>
          <w:spacing w:val="-6"/>
        </w:rPr>
        <w:t xml:space="preserve"> </w:t>
      </w:r>
      <w:r w:rsidRPr="008A5CD3">
        <w:rPr>
          <w:rFonts w:eastAsia="Candara" w:cstheme="minorHAnsi"/>
        </w:rPr>
        <w:t>with</w:t>
      </w:r>
      <w:r w:rsidRPr="008A5CD3">
        <w:rPr>
          <w:rFonts w:eastAsia="Candara" w:cstheme="minorHAnsi"/>
          <w:spacing w:val="-4"/>
        </w:rPr>
        <w:t xml:space="preserve"> </w:t>
      </w:r>
      <w:r w:rsidRPr="008A5CD3">
        <w:rPr>
          <w:rFonts w:eastAsia="Candara" w:cstheme="minorHAnsi"/>
        </w:rPr>
        <w:t>respect</w:t>
      </w:r>
      <w:r w:rsidRPr="008A5CD3">
        <w:rPr>
          <w:rFonts w:eastAsia="Candara" w:cstheme="minorHAnsi"/>
          <w:spacing w:val="-6"/>
        </w:rPr>
        <w:t xml:space="preserve"> </w:t>
      </w:r>
      <w:r w:rsidRPr="008A5CD3">
        <w:rPr>
          <w:rFonts w:eastAsia="Candara" w:cstheme="minorHAnsi"/>
        </w:rPr>
        <w:t>to</w:t>
      </w:r>
      <w:r w:rsidRPr="008A5CD3">
        <w:rPr>
          <w:rFonts w:eastAsia="Candara" w:cstheme="minorHAnsi"/>
          <w:spacing w:val="-2"/>
        </w:rPr>
        <w:t xml:space="preserve"> </w:t>
      </w:r>
      <w:r w:rsidRPr="008A5CD3">
        <w:rPr>
          <w:rFonts w:eastAsia="Candara" w:cstheme="minorHAnsi"/>
        </w:rPr>
        <w:t>programs</w:t>
      </w:r>
      <w:r w:rsidRPr="008A5CD3">
        <w:rPr>
          <w:rFonts w:eastAsia="Candara" w:cstheme="minorHAnsi"/>
          <w:spacing w:val="-8"/>
        </w:rPr>
        <w:t xml:space="preserve"> </w:t>
      </w:r>
      <w:r w:rsidRPr="008A5CD3">
        <w:rPr>
          <w:rFonts w:eastAsia="Candara" w:cstheme="minorHAnsi"/>
        </w:rPr>
        <w:t>specifically</w:t>
      </w:r>
      <w:r w:rsidRPr="008A5CD3">
        <w:rPr>
          <w:rFonts w:eastAsia="Candara" w:cstheme="minorHAnsi"/>
          <w:spacing w:val="-10"/>
        </w:rPr>
        <w:t xml:space="preserve"> </w:t>
      </w:r>
      <w:r w:rsidRPr="008A5CD3">
        <w:rPr>
          <w:rFonts w:eastAsia="Candara" w:cstheme="minorHAnsi"/>
        </w:rPr>
        <w:t>desi</w:t>
      </w:r>
      <w:r w:rsidRPr="008A5CD3">
        <w:rPr>
          <w:rFonts w:eastAsia="Candara" w:cstheme="minorHAnsi"/>
          <w:spacing w:val="-1"/>
        </w:rPr>
        <w:t>g</w:t>
      </w:r>
      <w:r w:rsidRPr="008A5CD3">
        <w:rPr>
          <w:rFonts w:eastAsia="Candara" w:cstheme="minorHAnsi"/>
        </w:rPr>
        <w:t>ned</w:t>
      </w:r>
      <w:r w:rsidRPr="008A5CD3">
        <w:rPr>
          <w:rFonts w:eastAsia="Candara" w:cstheme="minorHAnsi"/>
          <w:spacing w:val="-8"/>
        </w:rPr>
        <w:t xml:space="preserve"> </w:t>
      </w:r>
      <w:r w:rsidRPr="008A5CD3">
        <w:rPr>
          <w:rFonts w:eastAsia="Candara" w:cstheme="minorHAnsi"/>
        </w:rPr>
        <w:t>for</w:t>
      </w:r>
      <w:r w:rsidRPr="008A5CD3">
        <w:rPr>
          <w:rFonts w:eastAsia="Candara" w:cstheme="minorHAnsi"/>
          <w:spacing w:val="-3"/>
        </w:rPr>
        <w:t xml:space="preserve"> </w:t>
      </w:r>
      <w:r w:rsidR="00761DE1">
        <w:rPr>
          <w:rFonts w:eastAsia="Candara" w:cstheme="minorHAnsi"/>
        </w:rPr>
        <w:t>key</w:t>
      </w:r>
      <w:r w:rsidRPr="008A5CD3">
        <w:rPr>
          <w:rFonts w:eastAsia="Candara" w:cstheme="minorHAnsi"/>
          <w:spacing w:val="-3"/>
        </w:rPr>
        <w:t xml:space="preserve"> </w:t>
      </w:r>
      <w:r w:rsidRPr="008A5CD3">
        <w:rPr>
          <w:rFonts w:eastAsia="Candara" w:cstheme="minorHAnsi"/>
          <w:spacing w:val="1"/>
        </w:rPr>
        <w:t>e</w:t>
      </w:r>
      <w:r w:rsidRPr="008A5CD3">
        <w:rPr>
          <w:rFonts w:eastAsia="Candara" w:cstheme="minorHAnsi"/>
        </w:rPr>
        <w:t>mployees</w:t>
      </w:r>
      <w:r w:rsidR="00761DE1">
        <w:rPr>
          <w:rFonts w:eastAsia="Candara" w:cstheme="minorHAnsi"/>
        </w:rPr>
        <w:t xml:space="preserve"> and professionals. </w:t>
      </w:r>
      <w:r>
        <w:rPr>
          <w:rFonts w:eastAsia="Candara" w:cstheme="minorHAnsi"/>
        </w:rPr>
        <w:t xml:space="preserve"> </w:t>
      </w:r>
      <w:r w:rsidRPr="008A5CD3">
        <w:rPr>
          <w:rFonts w:eastAsia="Candara" w:cstheme="minorHAnsi"/>
        </w:rPr>
        <w:t>Those services</w:t>
      </w:r>
      <w:r w:rsidRPr="008A5CD3">
        <w:rPr>
          <w:rFonts w:eastAsia="Candara" w:cstheme="minorHAnsi"/>
          <w:spacing w:val="-6"/>
        </w:rPr>
        <w:t xml:space="preserve"> </w:t>
      </w:r>
      <w:r w:rsidRPr="008A5CD3">
        <w:rPr>
          <w:rFonts w:eastAsia="Candara" w:cstheme="minorHAnsi"/>
        </w:rPr>
        <w:t>incl</w:t>
      </w:r>
      <w:r w:rsidRPr="008A5CD3">
        <w:rPr>
          <w:rFonts w:eastAsia="Candara" w:cstheme="minorHAnsi"/>
          <w:spacing w:val="-1"/>
        </w:rPr>
        <w:t>u</w:t>
      </w:r>
      <w:r w:rsidRPr="008A5CD3">
        <w:rPr>
          <w:rFonts w:eastAsia="Candara" w:cstheme="minorHAnsi"/>
        </w:rPr>
        <w:t>de:</w:t>
      </w:r>
    </w:p>
    <w:p w14:paraId="4F1ED7D5" w14:textId="1921C13E" w:rsidR="006A3262" w:rsidRPr="00FC21B6" w:rsidRDefault="006A3262" w:rsidP="006A3262">
      <w:pPr>
        <w:pStyle w:val="ListParagraph"/>
        <w:widowControl w:val="0"/>
        <w:numPr>
          <w:ilvl w:val="0"/>
          <w:numId w:val="17"/>
        </w:numPr>
        <w:tabs>
          <w:tab w:val="left" w:pos="820"/>
        </w:tabs>
        <w:spacing w:after="0" w:line="240" w:lineRule="auto"/>
        <w:ind w:right="-20"/>
        <w:rPr>
          <w:rFonts w:eastAsia="Candara" w:cstheme="minorHAnsi"/>
          <w:sz w:val="20"/>
          <w:szCs w:val="20"/>
        </w:rPr>
      </w:pPr>
      <w:r w:rsidRPr="00FC21B6">
        <w:rPr>
          <w:rFonts w:eastAsia="Candara" w:cstheme="minorHAnsi"/>
          <w:sz w:val="20"/>
          <w:szCs w:val="20"/>
        </w:rPr>
        <w:t>Consulting</w:t>
      </w:r>
      <w:r w:rsidRPr="00FC21B6">
        <w:rPr>
          <w:rFonts w:eastAsia="Candara" w:cstheme="minorHAnsi"/>
          <w:spacing w:val="-9"/>
          <w:sz w:val="20"/>
          <w:szCs w:val="20"/>
        </w:rPr>
        <w:t xml:space="preserve"> </w:t>
      </w:r>
      <w:r w:rsidRPr="00FC21B6">
        <w:rPr>
          <w:rFonts w:eastAsia="Candara" w:cstheme="minorHAnsi"/>
          <w:sz w:val="20"/>
          <w:szCs w:val="20"/>
        </w:rPr>
        <w:t>with</w:t>
      </w:r>
      <w:r w:rsidRPr="00FC21B6">
        <w:rPr>
          <w:rFonts w:eastAsia="Candara" w:cstheme="minorHAnsi"/>
          <w:spacing w:val="-4"/>
          <w:sz w:val="20"/>
          <w:szCs w:val="20"/>
        </w:rPr>
        <w:t xml:space="preserve"> </w:t>
      </w:r>
      <w:r w:rsidRPr="00FC21B6">
        <w:rPr>
          <w:rFonts w:eastAsia="Candara" w:cstheme="minorHAnsi"/>
          <w:sz w:val="20"/>
          <w:szCs w:val="20"/>
        </w:rPr>
        <w:t>respect</w:t>
      </w:r>
      <w:r w:rsidRPr="00FC21B6">
        <w:rPr>
          <w:rFonts w:eastAsia="Candara" w:cstheme="minorHAnsi"/>
          <w:spacing w:val="-6"/>
          <w:sz w:val="20"/>
          <w:szCs w:val="20"/>
        </w:rPr>
        <w:t xml:space="preserve"> </w:t>
      </w:r>
      <w:r w:rsidRPr="00FC21B6">
        <w:rPr>
          <w:rFonts w:eastAsia="Candara" w:cstheme="minorHAnsi"/>
          <w:spacing w:val="-1"/>
          <w:sz w:val="20"/>
          <w:szCs w:val="20"/>
        </w:rPr>
        <w:t>t</w:t>
      </w:r>
      <w:r w:rsidRPr="00FC21B6">
        <w:rPr>
          <w:rFonts w:eastAsia="Candara" w:cstheme="minorHAnsi"/>
          <w:sz w:val="20"/>
          <w:szCs w:val="20"/>
        </w:rPr>
        <w:t>o</w:t>
      </w:r>
      <w:r w:rsidRPr="00FC21B6">
        <w:rPr>
          <w:rFonts w:eastAsia="Candara" w:cstheme="minorHAnsi"/>
          <w:spacing w:val="-2"/>
          <w:sz w:val="20"/>
          <w:szCs w:val="20"/>
        </w:rPr>
        <w:t xml:space="preserve"> </w:t>
      </w:r>
      <w:r w:rsidRPr="00FC21B6">
        <w:rPr>
          <w:rFonts w:eastAsia="Candara" w:cstheme="minorHAnsi"/>
          <w:sz w:val="20"/>
          <w:szCs w:val="20"/>
        </w:rPr>
        <w:t>plan</w:t>
      </w:r>
      <w:r w:rsidRPr="00FC21B6">
        <w:rPr>
          <w:rFonts w:eastAsia="Candara" w:cstheme="minorHAnsi"/>
          <w:spacing w:val="-4"/>
          <w:sz w:val="20"/>
          <w:szCs w:val="20"/>
        </w:rPr>
        <w:t xml:space="preserve"> </w:t>
      </w:r>
      <w:r w:rsidRPr="00FC21B6">
        <w:rPr>
          <w:rFonts w:eastAsia="Candara" w:cstheme="minorHAnsi"/>
          <w:sz w:val="20"/>
          <w:szCs w:val="20"/>
        </w:rPr>
        <w:t>design</w:t>
      </w:r>
      <w:r w:rsidR="00761DE1">
        <w:rPr>
          <w:rFonts w:eastAsia="Candara" w:cstheme="minorHAnsi"/>
          <w:sz w:val="20"/>
          <w:szCs w:val="20"/>
        </w:rPr>
        <w:t>,</w:t>
      </w:r>
    </w:p>
    <w:p w14:paraId="6D4AE6A9" w14:textId="24CEF320" w:rsidR="006A3262" w:rsidRPr="00FC21B6" w:rsidRDefault="00761DE1" w:rsidP="006A3262">
      <w:pPr>
        <w:pStyle w:val="ListParagraph"/>
        <w:widowControl w:val="0"/>
        <w:numPr>
          <w:ilvl w:val="0"/>
          <w:numId w:val="17"/>
        </w:numPr>
        <w:tabs>
          <w:tab w:val="left" w:pos="820"/>
        </w:tabs>
        <w:spacing w:before="1" w:after="0" w:line="240" w:lineRule="auto"/>
        <w:ind w:right="-20"/>
        <w:rPr>
          <w:rFonts w:eastAsia="Candara" w:cstheme="minorHAnsi"/>
          <w:sz w:val="20"/>
          <w:szCs w:val="20"/>
        </w:rPr>
      </w:pPr>
      <w:r>
        <w:rPr>
          <w:rFonts w:eastAsia="Candara" w:cstheme="minorHAnsi"/>
          <w:sz w:val="20"/>
          <w:szCs w:val="20"/>
        </w:rPr>
        <w:t>The s</w:t>
      </w:r>
      <w:r w:rsidR="006A3262" w:rsidRPr="00FC21B6">
        <w:rPr>
          <w:rFonts w:eastAsia="Candara" w:cstheme="minorHAnsi"/>
          <w:sz w:val="20"/>
          <w:szCs w:val="20"/>
        </w:rPr>
        <w:t>tructuring</w:t>
      </w:r>
      <w:r w:rsidR="006A3262" w:rsidRPr="00FC21B6">
        <w:rPr>
          <w:rFonts w:eastAsia="Candara" w:cstheme="minorHAnsi"/>
          <w:spacing w:val="-9"/>
          <w:sz w:val="20"/>
          <w:szCs w:val="20"/>
        </w:rPr>
        <w:t xml:space="preserve"> </w:t>
      </w:r>
      <w:r w:rsidR="006A3262" w:rsidRPr="00FC21B6">
        <w:rPr>
          <w:rFonts w:eastAsia="Candara" w:cstheme="minorHAnsi"/>
          <w:sz w:val="20"/>
          <w:szCs w:val="20"/>
        </w:rPr>
        <w:t>of</w:t>
      </w:r>
      <w:r w:rsidR="006A3262" w:rsidRPr="00FC21B6">
        <w:rPr>
          <w:rFonts w:eastAsia="Candara" w:cstheme="minorHAnsi"/>
          <w:spacing w:val="-2"/>
          <w:sz w:val="20"/>
          <w:szCs w:val="20"/>
        </w:rPr>
        <w:t xml:space="preserve"> </w:t>
      </w:r>
      <w:r w:rsidR="006A3262" w:rsidRPr="00FC21B6">
        <w:rPr>
          <w:rFonts w:eastAsia="Candara" w:cstheme="minorHAnsi"/>
          <w:sz w:val="20"/>
          <w:szCs w:val="20"/>
        </w:rPr>
        <w:t>related</w:t>
      </w:r>
      <w:r w:rsidR="006A3262" w:rsidRPr="00FC21B6">
        <w:rPr>
          <w:rFonts w:eastAsia="Candara" w:cstheme="minorHAnsi"/>
          <w:spacing w:val="-6"/>
          <w:sz w:val="20"/>
          <w:szCs w:val="20"/>
        </w:rPr>
        <w:t xml:space="preserve"> </w:t>
      </w:r>
      <w:r w:rsidR="006A3262" w:rsidRPr="00FC21B6">
        <w:rPr>
          <w:rFonts w:eastAsia="Candara" w:cstheme="minorHAnsi"/>
          <w:sz w:val="20"/>
          <w:szCs w:val="20"/>
        </w:rPr>
        <w:t>financing</w:t>
      </w:r>
      <w:r w:rsidR="006A3262" w:rsidRPr="00FC21B6">
        <w:rPr>
          <w:rFonts w:eastAsia="Candara" w:cstheme="minorHAnsi"/>
          <w:spacing w:val="-8"/>
          <w:sz w:val="20"/>
          <w:szCs w:val="20"/>
        </w:rPr>
        <w:t xml:space="preserve"> </w:t>
      </w:r>
      <w:r w:rsidR="006A3262" w:rsidRPr="00FC21B6">
        <w:rPr>
          <w:rFonts w:eastAsia="Candara" w:cstheme="minorHAnsi"/>
          <w:sz w:val="20"/>
          <w:szCs w:val="20"/>
        </w:rPr>
        <w:t>and</w:t>
      </w:r>
      <w:r w:rsidR="006A3262" w:rsidRPr="00FC21B6">
        <w:rPr>
          <w:rFonts w:eastAsia="Candara" w:cstheme="minorHAnsi"/>
          <w:spacing w:val="-2"/>
          <w:sz w:val="20"/>
          <w:szCs w:val="20"/>
        </w:rPr>
        <w:t xml:space="preserve"> </w:t>
      </w:r>
      <w:r w:rsidR="006A3262" w:rsidRPr="00FC21B6">
        <w:rPr>
          <w:rFonts w:eastAsia="Candara" w:cstheme="minorHAnsi"/>
          <w:sz w:val="20"/>
          <w:szCs w:val="20"/>
        </w:rPr>
        <w:t>benefit</w:t>
      </w:r>
      <w:r w:rsidR="006A3262" w:rsidRPr="00FC21B6">
        <w:rPr>
          <w:rFonts w:eastAsia="Candara" w:cstheme="minorHAnsi"/>
          <w:spacing w:val="-6"/>
          <w:sz w:val="20"/>
          <w:szCs w:val="20"/>
        </w:rPr>
        <w:t xml:space="preserve"> </w:t>
      </w:r>
      <w:r w:rsidR="006A3262" w:rsidRPr="00FC21B6">
        <w:rPr>
          <w:rFonts w:eastAsia="Candara" w:cstheme="minorHAnsi"/>
          <w:sz w:val="20"/>
          <w:szCs w:val="20"/>
        </w:rPr>
        <w:t>se</w:t>
      </w:r>
      <w:r w:rsidR="006A3262" w:rsidRPr="00FC21B6">
        <w:rPr>
          <w:rFonts w:eastAsia="Candara" w:cstheme="minorHAnsi"/>
          <w:spacing w:val="-1"/>
          <w:sz w:val="20"/>
          <w:szCs w:val="20"/>
        </w:rPr>
        <w:t>c</w:t>
      </w:r>
      <w:r w:rsidR="006A3262" w:rsidRPr="00FC21B6">
        <w:rPr>
          <w:rFonts w:eastAsia="Candara" w:cstheme="minorHAnsi"/>
          <w:sz w:val="20"/>
          <w:szCs w:val="20"/>
        </w:rPr>
        <w:t>urity</w:t>
      </w:r>
      <w:r w:rsidR="006A3262" w:rsidRPr="00FC21B6">
        <w:rPr>
          <w:rFonts w:eastAsia="Candara" w:cstheme="minorHAnsi"/>
          <w:spacing w:val="-7"/>
          <w:sz w:val="20"/>
          <w:szCs w:val="20"/>
        </w:rPr>
        <w:t xml:space="preserve"> </w:t>
      </w:r>
      <w:r w:rsidR="006A3262" w:rsidRPr="00FC21B6">
        <w:rPr>
          <w:rFonts w:eastAsia="Candara" w:cstheme="minorHAnsi"/>
          <w:sz w:val="20"/>
          <w:szCs w:val="20"/>
        </w:rPr>
        <w:t>arrangements</w:t>
      </w:r>
      <w:r>
        <w:rPr>
          <w:rFonts w:eastAsia="Candara" w:cstheme="minorHAnsi"/>
          <w:sz w:val="20"/>
          <w:szCs w:val="20"/>
        </w:rPr>
        <w:t>,</w:t>
      </w:r>
    </w:p>
    <w:p w14:paraId="6D7FCAE4" w14:textId="73FC29B2" w:rsidR="006A3262" w:rsidRPr="00FC21B6" w:rsidRDefault="00761DE1" w:rsidP="006A3262">
      <w:pPr>
        <w:pStyle w:val="ListParagraph"/>
        <w:widowControl w:val="0"/>
        <w:numPr>
          <w:ilvl w:val="0"/>
          <w:numId w:val="17"/>
        </w:numPr>
        <w:tabs>
          <w:tab w:val="left" w:pos="820"/>
        </w:tabs>
        <w:spacing w:after="0" w:line="240" w:lineRule="auto"/>
        <w:ind w:right="342"/>
        <w:rPr>
          <w:rFonts w:eastAsia="Candara" w:cstheme="minorHAnsi"/>
          <w:sz w:val="20"/>
          <w:szCs w:val="20"/>
        </w:rPr>
      </w:pPr>
      <w:r>
        <w:rPr>
          <w:rFonts w:eastAsia="Candara" w:cstheme="minorHAnsi"/>
          <w:sz w:val="20"/>
          <w:szCs w:val="20"/>
        </w:rPr>
        <w:t>The d</w:t>
      </w:r>
      <w:r w:rsidR="006A3262" w:rsidRPr="00FC21B6">
        <w:rPr>
          <w:rFonts w:eastAsia="Candara" w:cstheme="minorHAnsi"/>
          <w:sz w:val="20"/>
          <w:szCs w:val="20"/>
        </w:rPr>
        <w:t>esign</w:t>
      </w:r>
      <w:r w:rsidR="006A3262" w:rsidRPr="00FC21B6">
        <w:rPr>
          <w:rFonts w:eastAsia="Candara" w:cstheme="minorHAnsi"/>
          <w:spacing w:val="-6"/>
          <w:sz w:val="20"/>
          <w:szCs w:val="20"/>
        </w:rPr>
        <w:t xml:space="preserve"> </w:t>
      </w:r>
      <w:r w:rsidR="006A3262" w:rsidRPr="00FC21B6">
        <w:rPr>
          <w:rFonts w:eastAsia="Candara" w:cstheme="minorHAnsi"/>
          <w:sz w:val="20"/>
          <w:szCs w:val="20"/>
        </w:rPr>
        <w:t>and</w:t>
      </w:r>
      <w:r w:rsidR="006A3262" w:rsidRPr="00FC21B6">
        <w:rPr>
          <w:rFonts w:eastAsia="Candara" w:cstheme="minorHAnsi"/>
          <w:spacing w:val="-3"/>
          <w:sz w:val="20"/>
          <w:szCs w:val="20"/>
        </w:rPr>
        <w:t xml:space="preserve"> </w:t>
      </w:r>
      <w:r w:rsidR="006A3262" w:rsidRPr="00FC21B6">
        <w:rPr>
          <w:rFonts w:eastAsia="Candara" w:cstheme="minorHAnsi"/>
          <w:sz w:val="20"/>
          <w:szCs w:val="20"/>
        </w:rPr>
        <w:t>management</w:t>
      </w:r>
      <w:r w:rsidR="006A3262" w:rsidRPr="00FC21B6">
        <w:rPr>
          <w:rFonts w:eastAsia="Candara" w:cstheme="minorHAnsi"/>
          <w:spacing w:val="-11"/>
          <w:sz w:val="20"/>
          <w:szCs w:val="20"/>
        </w:rPr>
        <w:t xml:space="preserve"> </w:t>
      </w:r>
      <w:r w:rsidR="006A3262" w:rsidRPr="00FC21B6">
        <w:rPr>
          <w:rFonts w:eastAsia="Candara" w:cstheme="minorHAnsi"/>
          <w:sz w:val="20"/>
          <w:szCs w:val="20"/>
        </w:rPr>
        <w:t>of</w:t>
      </w:r>
      <w:r w:rsidR="006A3262" w:rsidRPr="00FC21B6">
        <w:rPr>
          <w:rFonts w:eastAsia="Candara" w:cstheme="minorHAnsi"/>
          <w:spacing w:val="-3"/>
          <w:sz w:val="20"/>
          <w:szCs w:val="20"/>
        </w:rPr>
        <w:t xml:space="preserve"> </w:t>
      </w:r>
      <w:r w:rsidR="006A3262" w:rsidRPr="00FC21B6">
        <w:rPr>
          <w:rFonts w:eastAsia="Candara" w:cstheme="minorHAnsi"/>
          <w:sz w:val="20"/>
          <w:szCs w:val="20"/>
        </w:rPr>
        <w:t>participant</w:t>
      </w:r>
      <w:r w:rsidR="006A3262" w:rsidRPr="00FC21B6">
        <w:rPr>
          <w:rFonts w:eastAsia="Candara" w:cstheme="minorHAnsi"/>
          <w:spacing w:val="-9"/>
          <w:sz w:val="20"/>
          <w:szCs w:val="20"/>
        </w:rPr>
        <w:t xml:space="preserve"> </w:t>
      </w:r>
      <w:r w:rsidR="006A3262" w:rsidRPr="00FC21B6">
        <w:rPr>
          <w:rFonts w:eastAsia="Candara" w:cstheme="minorHAnsi"/>
          <w:sz w:val="20"/>
          <w:szCs w:val="20"/>
        </w:rPr>
        <w:t>c</w:t>
      </w:r>
      <w:r w:rsidR="006A3262" w:rsidRPr="00FC21B6">
        <w:rPr>
          <w:rFonts w:eastAsia="Candara" w:cstheme="minorHAnsi"/>
          <w:spacing w:val="-1"/>
          <w:sz w:val="20"/>
          <w:szCs w:val="20"/>
        </w:rPr>
        <w:t>o</w:t>
      </w:r>
      <w:r w:rsidR="006A3262" w:rsidRPr="00FC21B6">
        <w:rPr>
          <w:rFonts w:eastAsia="Candara" w:cstheme="minorHAnsi"/>
          <w:sz w:val="20"/>
          <w:szCs w:val="20"/>
        </w:rPr>
        <w:t>mmunication,</w:t>
      </w:r>
      <w:r w:rsidR="006A3262" w:rsidRPr="00FC21B6">
        <w:rPr>
          <w:rFonts w:eastAsia="Candara" w:cstheme="minorHAnsi"/>
          <w:spacing w:val="-15"/>
          <w:sz w:val="20"/>
          <w:szCs w:val="20"/>
        </w:rPr>
        <w:t xml:space="preserve"> </w:t>
      </w:r>
      <w:r w:rsidR="006A3262" w:rsidRPr="00FC21B6">
        <w:rPr>
          <w:rFonts w:eastAsia="Candara" w:cstheme="minorHAnsi"/>
          <w:sz w:val="20"/>
          <w:szCs w:val="20"/>
        </w:rPr>
        <w:t>education</w:t>
      </w:r>
      <w:r w:rsidR="006A3262" w:rsidRPr="00FC21B6">
        <w:rPr>
          <w:rFonts w:eastAsia="Candara" w:cstheme="minorHAnsi"/>
          <w:spacing w:val="-9"/>
          <w:sz w:val="20"/>
          <w:szCs w:val="20"/>
        </w:rPr>
        <w:t xml:space="preserve"> </w:t>
      </w:r>
      <w:r w:rsidR="006A3262" w:rsidRPr="00FC21B6">
        <w:rPr>
          <w:rFonts w:eastAsia="Candara" w:cstheme="minorHAnsi"/>
          <w:sz w:val="20"/>
          <w:szCs w:val="20"/>
        </w:rPr>
        <w:t>and</w:t>
      </w:r>
      <w:r w:rsidR="006A3262" w:rsidRPr="00FC21B6">
        <w:rPr>
          <w:rFonts w:eastAsia="Candara" w:cstheme="minorHAnsi"/>
          <w:spacing w:val="-2"/>
          <w:sz w:val="20"/>
          <w:szCs w:val="20"/>
        </w:rPr>
        <w:t xml:space="preserve"> </w:t>
      </w:r>
      <w:r w:rsidR="006A3262" w:rsidRPr="00FC21B6">
        <w:rPr>
          <w:rFonts w:eastAsia="Candara" w:cstheme="minorHAnsi"/>
          <w:sz w:val="20"/>
          <w:szCs w:val="20"/>
        </w:rPr>
        <w:t>enrollm</w:t>
      </w:r>
      <w:r w:rsidR="006A3262" w:rsidRPr="00FC21B6">
        <w:rPr>
          <w:rFonts w:eastAsia="Candara" w:cstheme="minorHAnsi"/>
          <w:spacing w:val="1"/>
          <w:sz w:val="20"/>
          <w:szCs w:val="20"/>
        </w:rPr>
        <w:t>e</w:t>
      </w:r>
      <w:r w:rsidR="006A3262" w:rsidRPr="00FC21B6">
        <w:rPr>
          <w:rFonts w:eastAsia="Candara" w:cstheme="minorHAnsi"/>
          <w:sz w:val="20"/>
          <w:szCs w:val="20"/>
        </w:rPr>
        <w:t>nt processes</w:t>
      </w:r>
      <w:r>
        <w:rPr>
          <w:rFonts w:eastAsia="Candara" w:cstheme="minorHAnsi"/>
          <w:sz w:val="20"/>
          <w:szCs w:val="20"/>
        </w:rPr>
        <w:t>,</w:t>
      </w:r>
    </w:p>
    <w:p w14:paraId="5A978370" w14:textId="7A9CB99F" w:rsidR="006A3262" w:rsidRPr="00FC21B6" w:rsidRDefault="006A3262" w:rsidP="006A3262">
      <w:pPr>
        <w:pStyle w:val="ListParagraph"/>
        <w:widowControl w:val="0"/>
        <w:numPr>
          <w:ilvl w:val="0"/>
          <w:numId w:val="17"/>
        </w:numPr>
        <w:tabs>
          <w:tab w:val="left" w:pos="820"/>
        </w:tabs>
        <w:spacing w:before="1" w:after="0" w:line="240" w:lineRule="auto"/>
        <w:ind w:right="-20"/>
        <w:rPr>
          <w:rFonts w:eastAsia="Candara" w:cstheme="minorHAnsi"/>
          <w:sz w:val="20"/>
          <w:szCs w:val="20"/>
        </w:rPr>
      </w:pPr>
      <w:r w:rsidRPr="00FC21B6">
        <w:rPr>
          <w:rFonts w:eastAsia="Candara" w:cstheme="minorHAnsi"/>
          <w:sz w:val="20"/>
          <w:szCs w:val="20"/>
        </w:rPr>
        <w:t>Manageme</w:t>
      </w:r>
      <w:r w:rsidRPr="00FC21B6">
        <w:rPr>
          <w:rFonts w:eastAsia="Candara" w:cstheme="minorHAnsi"/>
          <w:spacing w:val="2"/>
          <w:sz w:val="20"/>
          <w:szCs w:val="20"/>
        </w:rPr>
        <w:t>n</w:t>
      </w:r>
      <w:r w:rsidRPr="00FC21B6">
        <w:rPr>
          <w:rFonts w:eastAsia="Candara" w:cstheme="minorHAnsi"/>
          <w:sz w:val="20"/>
          <w:szCs w:val="20"/>
        </w:rPr>
        <w:t>t</w:t>
      </w:r>
      <w:r w:rsidRPr="00FC21B6">
        <w:rPr>
          <w:rFonts w:eastAsia="Candara" w:cstheme="minorHAnsi"/>
          <w:spacing w:val="-12"/>
          <w:sz w:val="20"/>
          <w:szCs w:val="20"/>
        </w:rPr>
        <w:t xml:space="preserve"> </w:t>
      </w:r>
      <w:r w:rsidRPr="00FC21B6">
        <w:rPr>
          <w:rFonts w:eastAsia="Candara" w:cstheme="minorHAnsi"/>
          <w:sz w:val="20"/>
          <w:szCs w:val="20"/>
        </w:rPr>
        <w:t>of</w:t>
      </w:r>
      <w:r w:rsidRPr="00FC21B6">
        <w:rPr>
          <w:rFonts w:eastAsia="Candara" w:cstheme="minorHAnsi"/>
          <w:spacing w:val="-2"/>
          <w:sz w:val="20"/>
          <w:szCs w:val="20"/>
        </w:rPr>
        <w:t xml:space="preserve"> </w:t>
      </w:r>
      <w:r w:rsidRPr="00FC21B6">
        <w:rPr>
          <w:rFonts w:eastAsia="Candara" w:cstheme="minorHAnsi"/>
          <w:sz w:val="20"/>
          <w:szCs w:val="20"/>
        </w:rPr>
        <w:t>any</w:t>
      </w:r>
      <w:r w:rsidRPr="00FC21B6">
        <w:rPr>
          <w:rFonts w:eastAsia="Candara" w:cstheme="minorHAnsi"/>
          <w:spacing w:val="-3"/>
          <w:sz w:val="20"/>
          <w:szCs w:val="20"/>
        </w:rPr>
        <w:t xml:space="preserve"> </w:t>
      </w:r>
      <w:r w:rsidRPr="00FC21B6">
        <w:rPr>
          <w:rFonts w:eastAsia="Candara" w:cstheme="minorHAnsi"/>
          <w:sz w:val="20"/>
          <w:szCs w:val="20"/>
        </w:rPr>
        <w:t>info</w:t>
      </w:r>
      <w:r w:rsidRPr="00FC21B6">
        <w:rPr>
          <w:rFonts w:eastAsia="Candara" w:cstheme="minorHAnsi"/>
          <w:spacing w:val="2"/>
          <w:sz w:val="20"/>
          <w:szCs w:val="20"/>
        </w:rPr>
        <w:t>r</w:t>
      </w:r>
      <w:r w:rsidRPr="00FC21B6">
        <w:rPr>
          <w:rFonts w:eastAsia="Candara" w:cstheme="minorHAnsi"/>
          <w:sz w:val="20"/>
          <w:szCs w:val="20"/>
        </w:rPr>
        <w:t>mal</w:t>
      </w:r>
      <w:r w:rsidRPr="00FC21B6">
        <w:rPr>
          <w:rFonts w:eastAsia="Candara" w:cstheme="minorHAnsi"/>
          <w:spacing w:val="-8"/>
          <w:sz w:val="20"/>
          <w:szCs w:val="20"/>
        </w:rPr>
        <w:t xml:space="preserve"> </w:t>
      </w:r>
      <w:r w:rsidRPr="00FC21B6">
        <w:rPr>
          <w:rFonts w:eastAsia="Candara" w:cstheme="minorHAnsi"/>
          <w:sz w:val="20"/>
          <w:szCs w:val="20"/>
        </w:rPr>
        <w:t>funding</w:t>
      </w:r>
      <w:r w:rsidRPr="00FC21B6">
        <w:rPr>
          <w:rFonts w:eastAsia="Candara" w:cstheme="minorHAnsi"/>
          <w:spacing w:val="-6"/>
          <w:sz w:val="20"/>
          <w:szCs w:val="20"/>
        </w:rPr>
        <w:t xml:space="preserve"> </w:t>
      </w:r>
      <w:r w:rsidRPr="00FC21B6">
        <w:rPr>
          <w:rFonts w:eastAsia="Candara" w:cstheme="minorHAnsi"/>
          <w:sz w:val="20"/>
          <w:szCs w:val="20"/>
        </w:rPr>
        <w:t>assets</w:t>
      </w:r>
      <w:r w:rsidR="00761DE1">
        <w:rPr>
          <w:rFonts w:eastAsia="Candara" w:cstheme="minorHAnsi"/>
          <w:sz w:val="20"/>
          <w:szCs w:val="20"/>
        </w:rPr>
        <w:t xml:space="preserve"> and,</w:t>
      </w:r>
    </w:p>
    <w:p w14:paraId="019A4E36" w14:textId="6989F661" w:rsidR="006A3262" w:rsidRDefault="006A3262" w:rsidP="006A3262">
      <w:pPr>
        <w:pStyle w:val="ListParagraph"/>
        <w:widowControl w:val="0"/>
        <w:numPr>
          <w:ilvl w:val="0"/>
          <w:numId w:val="17"/>
        </w:numPr>
        <w:tabs>
          <w:tab w:val="left" w:pos="820"/>
        </w:tabs>
        <w:spacing w:after="0" w:line="240" w:lineRule="auto"/>
        <w:ind w:right="-20"/>
        <w:rPr>
          <w:rFonts w:eastAsia="Candara" w:cstheme="minorHAnsi"/>
          <w:sz w:val="20"/>
          <w:szCs w:val="20"/>
        </w:rPr>
      </w:pPr>
      <w:r w:rsidRPr="00FC21B6">
        <w:rPr>
          <w:rFonts w:eastAsia="Candara" w:cstheme="minorHAnsi"/>
          <w:sz w:val="20"/>
          <w:szCs w:val="20"/>
        </w:rPr>
        <w:t>On‐going</w:t>
      </w:r>
      <w:r w:rsidRPr="00FC21B6">
        <w:rPr>
          <w:rFonts w:eastAsia="Candara" w:cstheme="minorHAnsi"/>
          <w:spacing w:val="-8"/>
          <w:sz w:val="20"/>
          <w:szCs w:val="20"/>
        </w:rPr>
        <w:t xml:space="preserve"> </w:t>
      </w:r>
      <w:r w:rsidRPr="00FC21B6">
        <w:rPr>
          <w:rFonts w:eastAsia="Candara" w:cstheme="minorHAnsi"/>
          <w:spacing w:val="1"/>
          <w:sz w:val="20"/>
          <w:szCs w:val="20"/>
        </w:rPr>
        <w:t>pla</w:t>
      </w:r>
      <w:r w:rsidRPr="00FC21B6">
        <w:rPr>
          <w:rFonts w:eastAsia="Candara" w:cstheme="minorHAnsi"/>
          <w:sz w:val="20"/>
          <w:szCs w:val="20"/>
        </w:rPr>
        <w:t>n</w:t>
      </w:r>
      <w:r w:rsidRPr="00FC21B6">
        <w:rPr>
          <w:rFonts w:eastAsia="Candara" w:cstheme="minorHAnsi"/>
          <w:spacing w:val="-4"/>
          <w:sz w:val="20"/>
          <w:szCs w:val="20"/>
        </w:rPr>
        <w:t xml:space="preserve"> </w:t>
      </w:r>
      <w:r w:rsidRPr="00FC21B6">
        <w:rPr>
          <w:rFonts w:eastAsia="Candara" w:cstheme="minorHAnsi"/>
          <w:sz w:val="20"/>
          <w:szCs w:val="20"/>
        </w:rPr>
        <w:t>administration</w:t>
      </w:r>
      <w:r w:rsidRPr="00FC21B6">
        <w:rPr>
          <w:rFonts w:eastAsia="Candara" w:cstheme="minorHAnsi"/>
          <w:spacing w:val="-13"/>
          <w:sz w:val="20"/>
          <w:szCs w:val="20"/>
        </w:rPr>
        <w:t xml:space="preserve"> </w:t>
      </w:r>
      <w:r w:rsidRPr="00FC21B6">
        <w:rPr>
          <w:rFonts w:eastAsia="Candara" w:cstheme="minorHAnsi"/>
          <w:sz w:val="20"/>
          <w:szCs w:val="20"/>
        </w:rPr>
        <w:t>and</w:t>
      </w:r>
      <w:r w:rsidRPr="00FC21B6">
        <w:rPr>
          <w:rFonts w:eastAsia="Candara" w:cstheme="minorHAnsi"/>
          <w:spacing w:val="-2"/>
          <w:sz w:val="20"/>
          <w:szCs w:val="20"/>
        </w:rPr>
        <w:t xml:space="preserve"> </w:t>
      </w:r>
      <w:r w:rsidRPr="00FC21B6">
        <w:rPr>
          <w:rFonts w:eastAsia="Candara" w:cstheme="minorHAnsi"/>
          <w:sz w:val="20"/>
          <w:szCs w:val="20"/>
        </w:rPr>
        <w:t>technical</w:t>
      </w:r>
      <w:r w:rsidRPr="00FC21B6">
        <w:rPr>
          <w:rFonts w:eastAsia="Candara" w:cstheme="minorHAnsi"/>
          <w:spacing w:val="-8"/>
          <w:sz w:val="20"/>
          <w:szCs w:val="20"/>
        </w:rPr>
        <w:t xml:space="preserve"> </w:t>
      </w:r>
      <w:r w:rsidRPr="00FC21B6">
        <w:rPr>
          <w:rFonts w:eastAsia="Candara" w:cstheme="minorHAnsi"/>
          <w:sz w:val="20"/>
          <w:szCs w:val="20"/>
        </w:rPr>
        <w:t>support</w:t>
      </w:r>
      <w:r w:rsidR="00761DE1">
        <w:rPr>
          <w:rFonts w:eastAsia="Candara" w:cstheme="minorHAnsi"/>
          <w:sz w:val="20"/>
          <w:szCs w:val="20"/>
        </w:rPr>
        <w:t>.</w:t>
      </w:r>
    </w:p>
    <w:p w14:paraId="17B71E06" w14:textId="70C104BA" w:rsidR="006A3262" w:rsidRPr="00BA4A72" w:rsidRDefault="006A3262" w:rsidP="006A3262">
      <w:pPr>
        <w:pStyle w:val="ListParagraph"/>
        <w:widowControl w:val="0"/>
        <w:tabs>
          <w:tab w:val="left" w:pos="820"/>
        </w:tabs>
        <w:spacing w:after="0" w:line="240" w:lineRule="auto"/>
        <w:ind w:right="-20"/>
        <w:rPr>
          <w:rFonts w:eastAsia="Candara" w:cstheme="minorHAnsi"/>
          <w:sz w:val="20"/>
          <w:szCs w:val="20"/>
        </w:rPr>
      </w:pPr>
    </w:p>
    <w:p w14:paraId="67078CB1" w14:textId="5221D0D3" w:rsidR="006A3262" w:rsidRPr="00880007" w:rsidRDefault="00761DE1" w:rsidP="006A3262">
      <w:pPr>
        <w:ind w:left="100" w:right="-20"/>
        <w:rPr>
          <w:rFonts w:eastAsia="Candara" w:cstheme="minorHAnsi"/>
        </w:rPr>
      </w:pPr>
      <w:r>
        <w:rPr>
          <w:rFonts w:eastAsia="Candara" w:cstheme="minorHAnsi"/>
        </w:rPr>
        <w:t xml:space="preserve">More information about the firm can be found at:  </w:t>
      </w:r>
      <w:hyperlink r:id="rId31">
        <w:r w:rsidR="006A3262" w:rsidRPr="008A5CD3">
          <w:rPr>
            <w:rFonts w:eastAsia="Candara" w:cstheme="minorHAnsi"/>
            <w:color w:val="0000FF"/>
            <w:u w:val="single" w:color="0000FF"/>
          </w:rPr>
          <w:t>www.</w:t>
        </w:r>
        <w:r w:rsidR="006A3262" w:rsidRPr="008A5CD3">
          <w:rPr>
            <w:rFonts w:eastAsia="Candara" w:cstheme="minorHAnsi"/>
            <w:color w:val="0000FF"/>
            <w:spacing w:val="1"/>
            <w:u w:val="single" w:color="0000FF"/>
          </w:rPr>
          <w:t>e</w:t>
        </w:r>
        <w:r w:rsidR="006A3262" w:rsidRPr="008A5CD3">
          <w:rPr>
            <w:rFonts w:eastAsia="Candara" w:cstheme="minorHAnsi"/>
            <w:color w:val="0000FF"/>
            <w:u w:val="single" w:color="0000FF"/>
          </w:rPr>
          <w:t>xecutivebenefitsolutions.co</w:t>
        </w:r>
        <w:r w:rsidR="006A3262" w:rsidRPr="008A5CD3">
          <w:rPr>
            <w:rFonts w:eastAsia="Candara" w:cstheme="minorHAnsi"/>
            <w:color w:val="0000FF"/>
            <w:spacing w:val="-1"/>
            <w:u w:val="single" w:color="0000FF"/>
          </w:rPr>
          <w:t>m</w:t>
        </w:r>
        <w:r w:rsidR="006A3262" w:rsidRPr="008A5CD3">
          <w:rPr>
            <w:rFonts w:eastAsia="Candara" w:cstheme="minorHAnsi"/>
            <w:color w:val="000000"/>
          </w:rPr>
          <w:t>.</w:t>
        </w:r>
      </w:hyperlink>
    </w:p>
    <w:p w14:paraId="4C9E1A56" w14:textId="5E89B96B" w:rsidR="00301B2A" w:rsidRDefault="006A3262" w:rsidP="008258FC">
      <w:pPr>
        <w:pStyle w:val="NormalWeb"/>
        <w:shd w:val="clear" w:color="auto" w:fill="FFFFFF"/>
        <w:spacing w:before="0" w:beforeAutospacing="0" w:after="336" w:afterAutospacing="0"/>
        <w:ind w:left="90" w:right="20"/>
        <w:textAlignment w:val="baseline"/>
        <w:rPr>
          <w:rFonts w:asciiTheme="minorHAnsi" w:hAnsiTheme="minorHAnsi" w:cs="Arial"/>
          <w:i/>
          <w:sz w:val="22"/>
          <w:szCs w:val="22"/>
        </w:rPr>
      </w:pPr>
      <w:r w:rsidRPr="00640562">
        <w:rPr>
          <w:rFonts w:asciiTheme="minorHAnsi" w:hAnsiTheme="minorHAnsi" w:cstheme="minorHAnsi"/>
          <w:i/>
          <w:iCs/>
          <w:sz w:val="22"/>
          <w:szCs w:val="22"/>
        </w:rPr>
        <w:t>For m</w:t>
      </w:r>
      <w:r w:rsidRPr="00640562">
        <w:rPr>
          <w:rFonts w:asciiTheme="minorHAnsi" w:hAnsiTheme="minorHAnsi" w:cs="Arial"/>
          <w:i/>
          <w:sz w:val="22"/>
          <w:szCs w:val="22"/>
        </w:rPr>
        <w:t>ore information on how you can introduce the NQDC Exit Strategy to your executive benefits plan</w:t>
      </w:r>
      <w:r w:rsidRPr="00640562">
        <w:rPr>
          <w:rFonts w:asciiTheme="minorHAnsi" w:hAnsiTheme="minorHAnsi" w:cs="Arial"/>
          <w:i/>
          <w:noProof/>
          <w:sz w:val="22"/>
          <w:szCs w:val="22"/>
        </w:rPr>
        <w:t>,</w:t>
      </w:r>
      <w:r w:rsidRPr="00640562">
        <w:rPr>
          <w:rFonts w:asciiTheme="minorHAnsi" w:hAnsiTheme="minorHAnsi" w:cs="Arial"/>
          <w:i/>
          <w:sz w:val="22"/>
          <w:szCs w:val="22"/>
        </w:rPr>
        <w:t xml:space="preserve"> we invite you to contact one of our managing directors nearest you</w:t>
      </w:r>
      <w:r w:rsidR="008258FC">
        <w:rPr>
          <w:rFonts w:asciiTheme="minorHAnsi" w:hAnsiTheme="minorHAnsi" w:cs="Arial"/>
          <w:i/>
          <w:sz w:val="22"/>
          <w:szCs w:val="22"/>
        </w:rPr>
        <w:t>:</w:t>
      </w:r>
    </w:p>
    <w:p w14:paraId="04506FDB" w14:textId="77777777" w:rsidR="00EF5440" w:rsidRDefault="008258FC" w:rsidP="008258FC">
      <w:pPr>
        <w:pStyle w:val="NormalWeb"/>
        <w:shd w:val="clear" w:color="auto" w:fill="FFFFFF"/>
        <w:spacing w:before="0" w:beforeAutospacing="0" w:after="336" w:afterAutospacing="0"/>
        <w:ind w:left="90" w:right="20"/>
        <w:textAlignment w:val="baseline"/>
        <w:rPr>
          <w:noProof/>
          <w:sz w:val="28"/>
          <w:szCs w:val="28"/>
        </w:rPr>
      </w:pPr>
      <w:r w:rsidRPr="008258FC">
        <w:rPr>
          <w:rFonts w:asciiTheme="minorHAnsi" w:hAnsiTheme="minorHAnsi" w:cstheme="minorHAnsi"/>
          <w:b/>
          <w:bCs/>
        </w:rPr>
        <w:t>CONTACT INFORMATION</w:t>
      </w:r>
      <w:r>
        <w:rPr>
          <w:rFonts w:asciiTheme="minorHAnsi" w:hAnsiTheme="minorHAnsi" w:cstheme="minorHAnsi"/>
          <w:b/>
          <w:bCs/>
        </w:rPr>
        <w:t>:</w:t>
      </w:r>
      <w:bookmarkStart w:id="1" w:name="_Hlk35935701"/>
      <w:r w:rsidRPr="00C15514">
        <w:rPr>
          <w:noProof/>
          <w:sz w:val="28"/>
          <w:szCs w:val="28"/>
        </w:rPr>
        <w:t xml:space="preserve"> </w:t>
      </w:r>
    </w:p>
    <w:p w14:paraId="77884123" w14:textId="03097104" w:rsidR="008C370B" w:rsidRPr="008A5CD3" w:rsidRDefault="00EF5440" w:rsidP="008258FC">
      <w:pPr>
        <w:pStyle w:val="NormalWeb"/>
        <w:shd w:val="clear" w:color="auto" w:fill="FFFFFF"/>
        <w:spacing w:before="0" w:beforeAutospacing="0" w:after="336" w:afterAutospacing="0"/>
        <w:ind w:left="90" w:right="20"/>
        <w:textAlignment w:val="baseline"/>
        <w:rPr>
          <w:rFonts w:cstheme="minorHAnsi"/>
          <w:sz w:val="11"/>
          <w:szCs w:val="11"/>
        </w:rPr>
      </w:pPr>
      <w:r>
        <w:rPr>
          <w:noProof/>
          <w:sz w:val="28"/>
          <w:szCs w:val="28"/>
        </w:rPr>
        <w:object w:dxaOrig="9770" w:dyaOrig="6012" w14:anchorId="1C414FAB">
          <v:shape id="_x0000_i1028" type="#_x0000_t75" style="width:488pt;height:300.6pt" o:ole="">
            <v:imagedata r:id="rId32" o:title=""/>
          </v:shape>
          <o:OLEObject Type="Embed" ProgID="Excel.Sheet.12" ShapeID="_x0000_i1028" DrawAspect="Content" ObjectID="_1659877656" r:id="rId33"/>
        </w:object>
      </w:r>
      <w:r w:rsidR="008C370B" w:rsidRPr="00C15514">
        <w:rPr>
          <w:noProof/>
          <w:sz w:val="28"/>
          <w:szCs w:val="28"/>
        </w:rPr>
        <w:drawing>
          <wp:anchor distT="0" distB="0" distL="114300" distR="114300" simplePos="0" relativeHeight="251679744" behindDoc="0" locked="0" layoutInCell="1" allowOverlap="1" wp14:anchorId="72E31891" wp14:editId="66CB7CA7">
            <wp:simplePos x="0" y="0"/>
            <wp:positionH relativeFrom="margin">
              <wp:posOffset>4514215</wp:posOffset>
            </wp:positionH>
            <wp:positionV relativeFrom="bottomMargin">
              <wp:posOffset>0</wp:posOffset>
            </wp:positionV>
            <wp:extent cx="2162175" cy="577850"/>
            <wp:effectExtent l="0" t="0" r="9525"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2175" cy="577850"/>
                    </a:xfrm>
                    <a:prstGeom prst="rect">
                      <a:avLst/>
                    </a:prstGeom>
                    <a:noFill/>
                  </pic:spPr>
                </pic:pic>
              </a:graphicData>
            </a:graphic>
            <wp14:sizeRelH relativeFrom="page">
              <wp14:pctWidth>0</wp14:pctWidth>
            </wp14:sizeRelH>
            <wp14:sizeRelV relativeFrom="page">
              <wp14:pctHeight>0</wp14:pctHeight>
            </wp14:sizeRelV>
          </wp:anchor>
        </w:drawing>
      </w:r>
      <w:bookmarkEnd w:id="1"/>
    </w:p>
    <w:sectPr w:rsidR="008C370B" w:rsidRPr="008A5CD3" w:rsidSect="00301B2A">
      <w:footerReference w:type="default" r:id="rId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D24E3" w14:textId="77777777" w:rsidR="007630CB" w:rsidRDefault="007630CB" w:rsidP="00B2550E">
      <w:pPr>
        <w:spacing w:after="0" w:line="240" w:lineRule="auto"/>
      </w:pPr>
      <w:r>
        <w:separator/>
      </w:r>
    </w:p>
  </w:endnote>
  <w:endnote w:type="continuationSeparator" w:id="0">
    <w:p w14:paraId="3FA37984" w14:textId="77777777" w:rsidR="007630CB" w:rsidRDefault="007630CB" w:rsidP="00B2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279932"/>
      <w:docPartObj>
        <w:docPartGallery w:val="Page Numbers (Bottom of Page)"/>
        <w:docPartUnique/>
      </w:docPartObj>
    </w:sdtPr>
    <w:sdtEndPr>
      <w:rPr>
        <w:color w:val="7F7F7F" w:themeColor="background1" w:themeShade="7F"/>
        <w:spacing w:val="60"/>
      </w:rPr>
    </w:sdtEndPr>
    <w:sdtContent>
      <w:p w14:paraId="2C99D665" w14:textId="5C9A8F2A" w:rsidR="004E132D" w:rsidRDefault="004E132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B3DD72" w14:textId="77777777" w:rsidR="004E132D" w:rsidRDefault="004E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4F34" w14:textId="77777777" w:rsidR="007630CB" w:rsidRDefault="007630CB" w:rsidP="00B2550E">
      <w:pPr>
        <w:spacing w:after="0" w:line="240" w:lineRule="auto"/>
      </w:pPr>
      <w:r>
        <w:separator/>
      </w:r>
    </w:p>
  </w:footnote>
  <w:footnote w:type="continuationSeparator" w:id="0">
    <w:p w14:paraId="5123490D" w14:textId="77777777" w:rsidR="007630CB" w:rsidRDefault="007630CB" w:rsidP="00B25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04B"/>
    <w:multiLevelType w:val="hybridMultilevel"/>
    <w:tmpl w:val="908E3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2987"/>
    <w:multiLevelType w:val="hybridMultilevel"/>
    <w:tmpl w:val="4B6AA7A8"/>
    <w:lvl w:ilvl="0" w:tplc="D24409C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E7F0F"/>
    <w:multiLevelType w:val="multilevel"/>
    <w:tmpl w:val="918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E7159"/>
    <w:multiLevelType w:val="hybridMultilevel"/>
    <w:tmpl w:val="4B0213D8"/>
    <w:lvl w:ilvl="0" w:tplc="55867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F1068"/>
    <w:multiLevelType w:val="hybridMultilevel"/>
    <w:tmpl w:val="4D7C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64A6C"/>
    <w:multiLevelType w:val="hybridMultilevel"/>
    <w:tmpl w:val="5CF6AA50"/>
    <w:lvl w:ilvl="0" w:tplc="F0DE3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4121"/>
    <w:multiLevelType w:val="multilevel"/>
    <w:tmpl w:val="8A1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87F8C"/>
    <w:multiLevelType w:val="hybridMultilevel"/>
    <w:tmpl w:val="20082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01677"/>
    <w:multiLevelType w:val="hybridMultilevel"/>
    <w:tmpl w:val="368E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92903"/>
    <w:multiLevelType w:val="hybridMultilevel"/>
    <w:tmpl w:val="4A143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918F6"/>
    <w:multiLevelType w:val="multilevel"/>
    <w:tmpl w:val="A8B6E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D19E9"/>
    <w:multiLevelType w:val="hybridMultilevel"/>
    <w:tmpl w:val="7D0A5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7553BE"/>
    <w:multiLevelType w:val="multilevel"/>
    <w:tmpl w:val="D01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B594A"/>
    <w:multiLevelType w:val="hybridMultilevel"/>
    <w:tmpl w:val="447CD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D19BC"/>
    <w:multiLevelType w:val="multilevel"/>
    <w:tmpl w:val="F9E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E39D1"/>
    <w:multiLevelType w:val="multilevel"/>
    <w:tmpl w:val="858E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A07AC"/>
    <w:multiLevelType w:val="hybridMultilevel"/>
    <w:tmpl w:val="FD5C3FBA"/>
    <w:lvl w:ilvl="0" w:tplc="9C2CBA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B400A"/>
    <w:multiLevelType w:val="hybridMultilevel"/>
    <w:tmpl w:val="1766E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61CCD"/>
    <w:multiLevelType w:val="multilevel"/>
    <w:tmpl w:val="45AC3A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653D4"/>
    <w:multiLevelType w:val="hybridMultilevel"/>
    <w:tmpl w:val="686E9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8625C"/>
    <w:multiLevelType w:val="hybridMultilevel"/>
    <w:tmpl w:val="5B28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56735"/>
    <w:multiLevelType w:val="multilevel"/>
    <w:tmpl w:val="6A5E0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
  </w:num>
  <w:num w:numId="3">
    <w:abstractNumId w:val="14"/>
  </w:num>
  <w:num w:numId="4">
    <w:abstractNumId w:val="6"/>
  </w:num>
  <w:num w:numId="5">
    <w:abstractNumId w:val="3"/>
  </w:num>
  <w:num w:numId="6">
    <w:abstractNumId w:val="5"/>
  </w:num>
  <w:num w:numId="7">
    <w:abstractNumId w:val="12"/>
  </w:num>
  <w:num w:numId="8">
    <w:abstractNumId w:val="1"/>
  </w:num>
  <w:num w:numId="9">
    <w:abstractNumId w:val="9"/>
  </w:num>
  <w:num w:numId="10">
    <w:abstractNumId w:val="17"/>
  </w:num>
  <w:num w:numId="11">
    <w:abstractNumId w:val="18"/>
  </w:num>
  <w:num w:numId="12">
    <w:abstractNumId w:val="11"/>
  </w:num>
  <w:num w:numId="13">
    <w:abstractNumId w:val="19"/>
  </w:num>
  <w:num w:numId="14">
    <w:abstractNumId w:val="13"/>
  </w:num>
  <w:num w:numId="15">
    <w:abstractNumId w:val="10"/>
  </w:num>
  <w:num w:numId="16">
    <w:abstractNumId w:val="21"/>
  </w:num>
  <w:num w:numId="17">
    <w:abstractNumId w:val="4"/>
  </w:num>
  <w:num w:numId="18">
    <w:abstractNumId w:val="8"/>
  </w:num>
  <w:num w:numId="19">
    <w:abstractNumId w:val="0"/>
  </w:num>
  <w:num w:numId="20">
    <w:abstractNumId w:val="16"/>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MDM0NDezMDI3tDBQ0lEKTi0uzszPAykwqQUA7w2GyiwAAAA="/>
  </w:docVars>
  <w:rsids>
    <w:rsidRoot w:val="00E81BC6"/>
    <w:rsid w:val="00002510"/>
    <w:rsid w:val="00030A8A"/>
    <w:rsid w:val="00067CC6"/>
    <w:rsid w:val="00094844"/>
    <w:rsid w:val="000B5DBA"/>
    <w:rsid w:val="000B62A0"/>
    <w:rsid w:val="000C2EFB"/>
    <w:rsid w:val="000C4938"/>
    <w:rsid w:val="000C5D9B"/>
    <w:rsid w:val="000C60EB"/>
    <w:rsid w:val="000F510B"/>
    <w:rsid w:val="00102FCC"/>
    <w:rsid w:val="001147D2"/>
    <w:rsid w:val="00122E27"/>
    <w:rsid w:val="001A7926"/>
    <w:rsid w:val="001D2FD2"/>
    <w:rsid w:val="00216A04"/>
    <w:rsid w:val="002249A6"/>
    <w:rsid w:val="00231E9C"/>
    <w:rsid w:val="00271DC5"/>
    <w:rsid w:val="002938FE"/>
    <w:rsid w:val="0029566C"/>
    <w:rsid w:val="00297ABC"/>
    <w:rsid w:val="002A054A"/>
    <w:rsid w:val="002A703D"/>
    <w:rsid w:val="002D0363"/>
    <w:rsid w:val="002D0DA0"/>
    <w:rsid w:val="00301B2A"/>
    <w:rsid w:val="00303E51"/>
    <w:rsid w:val="00360945"/>
    <w:rsid w:val="0038206F"/>
    <w:rsid w:val="0038348A"/>
    <w:rsid w:val="003D749D"/>
    <w:rsid w:val="003E5A05"/>
    <w:rsid w:val="003F3C5D"/>
    <w:rsid w:val="003F40B7"/>
    <w:rsid w:val="0042197D"/>
    <w:rsid w:val="004228F4"/>
    <w:rsid w:val="004610D9"/>
    <w:rsid w:val="00472F7D"/>
    <w:rsid w:val="0049087E"/>
    <w:rsid w:val="004B2343"/>
    <w:rsid w:val="004E132D"/>
    <w:rsid w:val="004E714C"/>
    <w:rsid w:val="004E75B8"/>
    <w:rsid w:val="00510802"/>
    <w:rsid w:val="005121CA"/>
    <w:rsid w:val="005714B1"/>
    <w:rsid w:val="00571E3D"/>
    <w:rsid w:val="00582D5F"/>
    <w:rsid w:val="00592F2F"/>
    <w:rsid w:val="005936E3"/>
    <w:rsid w:val="00593BDC"/>
    <w:rsid w:val="005A644D"/>
    <w:rsid w:val="005B2B3A"/>
    <w:rsid w:val="005D2DFC"/>
    <w:rsid w:val="005D4173"/>
    <w:rsid w:val="005D5BBB"/>
    <w:rsid w:val="00605F9C"/>
    <w:rsid w:val="00636491"/>
    <w:rsid w:val="00640562"/>
    <w:rsid w:val="006416AC"/>
    <w:rsid w:val="00656626"/>
    <w:rsid w:val="00660A71"/>
    <w:rsid w:val="00677E27"/>
    <w:rsid w:val="00697BCB"/>
    <w:rsid w:val="006A300E"/>
    <w:rsid w:val="006A3262"/>
    <w:rsid w:val="006B1A77"/>
    <w:rsid w:val="00730005"/>
    <w:rsid w:val="007322E9"/>
    <w:rsid w:val="007412EF"/>
    <w:rsid w:val="00742438"/>
    <w:rsid w:val="00761DE1"/>
    <w:rsid w:val="007630CB"/>
    <w:rsid w:val="00773267"/>
    <w:rsid w:val="00773850"/>
    <w:rsid w:val="00787150"/>
    <w:rsid w:val="00787975"/>
    <w:rsid w:val="007C7241"/>
    <w:rsid w:val="007D0457"/>
    <w:rsid w:val="007F031A"/>
    <w:rsid w:val="00802CA4"/>
    <w:rsid w:val="00810272"/>
    <w:rsid w:val="0082161F"/>
    <w:rsid w:val="00821FDB"/>
    <w:rsid w:val="008258FC"/>
    <w:rsid w:val="00832FBA"/>
    <w:rsid w:val="00857F33"/>
    <w:rsid w:val="00864A77"/>
    <w:rsid w:val="00896E79"/>
    <w:rsid w:val="008C1E85"/>
    <w:rsid w:val="008C3390"/>
    <w:rsid w:val="008C370B"/>
    <w:rsid w:val="008D0796"/>
    <w:rsid w:val="00903692"/>
    <w:rsid w:val="00924DEE"/>
    <w:rsid w:val="00924F40"/>
    <w:rsid w:val="009325C6"/>
    <w:rsid w:val="00944E1E"/>
    <w:rsid w:val="00951E24"/>
    <w:rsid w:val="00963509"/>
    <w:rsid w:val="009944B6"/>
    <w:rsid w:val="009A154D"/>
    <w:rsid w:val="009C4B63"/>
    <w:rsid w:val="009E68AC"/>
    <w:rsid w:val="00A22954"/>
    <w:rsid w:val="00A33A13"/>
    <w:rsid w:val="00A64BE0"/>
    <w:rsid w:val="00AA1B44"/>
    <w:rsid w:val="00AB10A5"/>
    <w:rsid w:val="00AB12FB"/>
    <w:rsid w:val="00AC1DDC"/>
    <w:rsid w:val="00AC6CFF"/>
    <w:rsid w:val="00AE503A"/>
    <w:rsid w:val="00B13DE1"/>
    <w:rsid w:val="00B2550E"/>
    <w:rsid w:val="00B32820"/>
    <w:rsid w:val="00B509E4"/>
    <w:rsid w:val="00B545FC"/>
    <w:rsid w:val="00BC0813"/>
    <w:rsid w:val="00BC7ACB"/>
    <w:rsid w:val="00BC7F21"/>
    <w:rsid w:val="00C12169"/>
    <w:rsid w:val="00C154CD"/>
    <w:rsid w:val="00C15F01"/>
    <w:rsid w:val="00C25462"/>
    <w:rsid w:val="00C571E5"/>
    <w:rsid w:val="00C57DCB"/>
    <w:rsid w:val="00C60335"/>
    <w:rsid w:val="00C630DC"/>
    <w:rsid w:val="00C67639"/>
    <w:rsid w:val="00C756EE"/>
    <w:rsid w:val="00CA3451"/>
    <w:rsid w:val="00CA693B"/>
    <w:rsid w:val="00CB4457"/>
    <w:rsid w:val="00CC19FB"/>
    <w:rsid w:val="00CD22BD"/>
    <w:rsid w:val="00CD4FBC"/>
    <w:rsid w:val="00CF09E9"/>
    <w:rsid w:val="00D655E1"/>
    <w:rsid w:val="00D87CAE"/>
    <w:rsid w:val="00D96630"/>
    <w:rsid w:val="00DC3D4B"/>
    <w:rsid w:val="00DC76C5"/>
    <w:rsid w:val="00DD6F8E"/>
    <w:rsid w:val="00E008E9"/>
    <w:rsid w:val="00E053A6"/>
    <w:rsid w:val="00E13E51"/>
    <w:rsid w:val="00E57C7E"/>
    <w:rsid w:val="00E81BC6"/>
    <w:rsid w:val="00E85F17"/>
    <w:rsid w:val="00E94B09"/>
    <w:rsid w:val="00EF5440"/>
    <w:rsid w:val="00F25A7D"/>
    <w:rsid w:val="00F717CD"/>
    <w:rsid w:val="00F83B69"/>
    <w:rsid w:val="00F94E9A"/>
    <w:rsid w:val="00FA1A84"/>
    <w:rsid w:val="00FB212A"/>
    <w:rsid w:val="00FC0E3B"/>
    <w:rsid w:val="00FD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F81"/>
  <w15:chartTrackingRefBased/>
  <w15:docId w15:val="{2400227A-5A64-472F-BECE-06150556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1BC6"/>
    <w:rPr>
      <w:b/>
      <w:bCs/>
    </w:rPr>
  </w:style>
  <w:style w:type="character" w:styleId="Hyperlink">
    <w:name w:val="Hyperlink"/>
    <w:basedOn w:val="DefaultParagraphFont"/>
    <w:uiPriority w:val="99"/>
    <w:unhideWhenUsed/>
    <w:rsid w:val="00E81BC6"/>
    <w:rPr>
      <w:color w:val="0000FF"/>
      <w:u w:val="single"/>
    </w:rPr>
  </w:style>
  <w:style w:type="paragraph" w:styleId="NormalWeb">
    <w:name w:val="Normal (Web)"/>
    <w:basedOn w:val="Normal"/>
    <w:uiPriority w:val="99"/>
    <w:unhideWhenUsed/>
    <w:rsid w:val="00E81B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1BC6"/>
    <w:rPr>
      <w:i/>
      <w:iCs/>
    </w:rPr>
  </w:style>
  <w:style w:type="paragraph" w:styleId="ListParagraph">
    <w:name w:val="List Paragraph"/>
    <w:basedOn w:val="Normal"/>
    <w:uiPriority w:val="34"/>
    <w:qFormat/>
    <w:rsid w:val="00857F33"/>
    <w:pPr>
      <w:ind w:left="720"/>
      <w:contextualSpacing/>
    </w:pPr>
  </w:style>
  <w:style w:type="character" w:styleId="UnresolvedMention">
    <w:name w:val="Unresolved Mention"/>
    <w:basedOn w:val="DefaultParagraphFont"/>
    <w:uiPriority w:val="99"/>
    <w:semiHidden/>
    <w:unhideWhenUsed/>
    <w:rsid w:val="00832FBA"/>
    <w:rPr>
      <w:color w:val="605E5C"/>
      <w:shd w:val="clear" w:color="auto" w:fill="E1DFDD"/>
    </w:rPr>
  </w:style>
  <w:style w:type="table" w:styleId="TableGrid">
    <w:name w:val="Table Grid"/>
    <w:basedOn w:val="TableNormal"/>
    <w:uiPriority w:val="39"/>
    <w:rsid w:val="0029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1CA"/>
    <w:rPr>
      <w:rFonts w:ascii="Segoe UI" w:hAnsi="Segoe UI" w:cs="Segoe UI"/>
      <w:sz w:val="18"/>
      <w:szCs w:val="18"/>
    </w:rPr>
  </w:style>
  <w:style w:type="character" w:customStyle="1" w:styleId="e24kjd">
    <w:name w:val="e24kjd"/>
    <w:basedOn w:val="DefaultParagraphFont"/>
    <w:rsid w:val="00DC3D4B"/>
  </w:style>
  <w:style w:type="paragraph" w:styleId="Header">
    <w:name w:val="header"/>
    <w:basedOn w:val="Normal"/>
    <w:link w:val="HeaderChar"/>
    <w:uiPriority w:val="99"/>
    <w:unhideWhenUsed/>
    <w:rsid w:val="00B2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50E"/>
  </w:style>
  <w:style w:type="paragraph" w:styleId="Footer">
    <w:name w:val="footer"/>
    <w:basedOn w:val="Normal"/>
    <w:link w:val="FooterChar"/>
    <w:uiPriority w:val="99"/>
    <w:unhideWhenUsed/>
    <w:rsid w:val="00B2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0898">
      <w:bodyDiv w:val="1"/>
      <w:marLeft w:val="0"/>
      <w:marRight w:val="0"/>
      <w:marTop w:val="0"/>
      <w:marBottom w:val="0"/>
      <w:divBdr>
        <w:top w:val="none" w:sz="0" w:space="0" w:color="auto"/>
        <w:left w:val="none" w:sz="0" w:space="0" w:color="auto"/>
        <w:bottom w:val="none" w:sz="0" w:space="0" w:color="auto"/>
        <w:right w:val="none" w:sz="0" w:space="0" w:color="auto"/>
      </w:divBdr>
    </w:div>
    <w:div w:id="558592614">
      <w:bodyDiv w:val="1"/>
      <w:marLeft w:val="0"/>
      <w:marRight w:val="0"/>
      <w:marTop w:val="0"/>
      <w:marBottom w:val="0"/>
      <w:divBdr>
        <w:top w:val="none" w:sz="0" w:space="0" w:color="auto"/>
        <w:left w:val="none" w:sz="0" w:space="0" w:color="auto"/>
        <w:bottom w:val="none" w:sz="0" w:space="0" w:color="auto"/>
        <w:right w:val="none" w:sz="0" w:space="0" w:color="auto"/>
      </w:divBdr>
    </w:div>
    <w:div w:id="961686574">
      <w:bodyDiv w:val="1"/>
      <w:marLeft w:val="0"/>
      <w:marRight w:val="0"/>
      <w:marTop w:val="0"/>
      <w:marBottom w:val="0"/>
      <w:divBdr>
        <w:top w:val="none" w:sz="0" w:space="0" w:color="auto"/>
        <w:left w:val="none" w:sz="0" w:space="0" w:color="auto"/>
        <w:bottom w:val="none" w:sz="0" w:space="0" w:color="auto"/>
        <w:right w:val="none" w:sz="0" w:space="0" w:color="auto"/>
      </w:divBdr>
    </w:div>
    <w:div w:id="1363825827">
      <w:bodyDiv w:val="1"/>
      <w:marLeft w:val="0"/>
      <w:marRight w:val="0"/>
      <w:marTop w:val="0"/>
      <w:marBottom w:val="0"/>
      <w:divBdr>
        <w:top w:val="none" w:sz="0" w:space="0" w:color="auto"/>
        <w:left w:val="none" w:sz="0" w:space="0" w:color="auto"/>
        <w:bottom w:val="none" w:sz="0" w:space="0" w:color="auto"/>
        <w:right w:val="none" w:sz="0" w:space="0" w:color="auto"/>
      </w:divBdr>
    </w:div>
    <w:div w:id="13655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Enron_scandal" TargetMode="External"/><Relationship Id="rId18" Type="http://schemas.openxmlformats.org/officeDocument/2006/relationships/diagramColors" Target="diagrams/colors1.xml"/><Relationship Id="rId26" Type="http://schemas.openxmlformats.org/officeDocument/2006/relationships/package" Target="embeddings/Microsoft_Excel_Worksheet.xlsx"/><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s://en.wikipedia.org/wiki/Deferred_compensation" TargetMode="External"/><Relationship Id="rId17" Type="http://schemas.openxmlformats.org/officeDocument/2006/relationships/diagramQuickStyle" Target="diagrams/quickStyle1.xml"/><Relationship Id="rId25" Type="http://schemas.openxmlformats.org/officeDocument/2006/relationships/image" Target="media/image7.emf"/><Relationship Id="rId33" Type="http://schemas.openxmlformats.org/officeDocument/2006/relationships/package" Target="embeddings/Microsoft_Excel_Worksheet3.xlsx"/><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ron" TargetMode="External"/><Relationship Id="rId24" Type="http://schemas.openxmlformats.org/officeDocument/2006/relationships/image" Target="media/image6.png"/><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image" Target="media/image5.png"/><Relationship Id="rId28" Type="http://schemas.openxmlformats.org/officeDocument/2006/relationships/package" Target="embeddings/Microsoft_Excel_Worksheet1.xlsx"/><Relationship Id="rId36" Type="http://schemas.openxmlformats.org/officeDocument/2006/relationships/fontTable" Target="fontTable.xml"/><Relationship Id="rId10" Type="http://schemas.openxmlformats.org/officeDocument/2006/relationships/hyperlink" Target="https://en.wikipedia.org/wiki/American_Jobs_Creation_Act_of_2004" TargetMode="External"/><Relationship Id="rId19" Type="http://schemas.microsoft.com/office/2007/relationships/diagramDrawing" Target="diagrams/drawing1.xml"/><Relationship Id="rId31" Type="http://schemas.openxmlformats.org/officeDocument/2006/relationships/hyperlink" Target="http://www.executivebenefitsolutions.com/" TargetMode="External"/><Relationship Id="rId4" Type="http://schemas.openxmlformats.org/officeDocument/2006/relationships/webSettings" Target="webSettings.xml"/><Relationship Id="rId9" Type="http://schemas.openxmlformats.org/officeDocument/2006/relationships/hyperlink" Target="https://en.wikipedia.org/wiki/Internal_Revenue_Code" TargetMode="External"/><Relationship Id="rId14" Type="http://schemas.openxmlformats.org/officeDocument/2006/relationships/hyperlink" Target="https://en.wikipedia.org/wiki/Constructive_receipt" TargetMode="External"/><Relationship Id="rId22" Type="http://schemas.openxmlformats.org/officeDocument/2006/relationships/hyperlink" Target="http://www.myfinancialcoach.com." TargetMode="External"/><Relationship Id="rId27" Type="http://schemas.openxmlformats.org/officeDocument/2006/relationships/image" Target="media/image8.emf"/><Relationship Id="rId30" Type="http://schemas.openxmlformats.org/officeDocument/2006/relationships/package" Target="embeddings/Microsoft_Excel_Worksheet2.xlsx"/><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CFC41-E4A2-4A66-A224-AFCFFA98C35B}" type="doc">
      <dgm:prSet loTypeId="urn:microsoft.com/office/officeart/2005/8/layout/cycle2" loCatId="cycle" qsTypeId="urn:microsoft.com/office/officeart/2005/8/quickstyle/simple1" qsCatId="simple" csTypeId="urn:microsoft.com/office/officeart/2005/8/colors/accent2_1" csCatId="accent2" phldr="1"/>
      <dgm:spPr/>
      <dgm:t>
        <a:bodyPr/>
        <a:lstStyle/>
        <a:p>
          <a:endParaRPr lang="en-US"/>
        </a:p>
      </dgm:t>
    </dgm:pt>
    <dgm:pt modelId="{3E87343E-2A83-4E83-8F8E-ED1D2772C97C}">
      <dgm:prSet phldrT="[Text]"/>
      <dgm:spPr/>
      <dgm:t>
        <a:bodyPr/>
        <a:lstStyle/>
        <a:p>
          <a:r>
            <a:rPr lang="en-US" b="1"/>
            <a:t>Creditor</a:t>
          </a:r>
        </a:p>
      </dgm:t>
    </dgm:pt>
    <dgm:pt modelId="{2116E127-53C6-4844-B032-B0C75AFD4C2C}" type="parTrans" cxnId="{2A8C4112-3269-4D30-841A-BEE7402D600B}">
      <dgm:prSet/>
      <dgm:spPr/>
      <dgm:t>
        <a:bodyPr/>
        <a:lstStyle/>
        <a:p>
          <a:endParaRPr lang="en-US"/>
        </a:p>
      </dgm:t>
    </dgm:pt>
    <dgm:pt modelId="{BDAE3B86-4EDA-4334-92B7-140023225E7A}" type="sibTrans" cxnId="{2A8C4112-3269-4D30-841A-BEE7402D600B}">
      <dgm:prSet/>
      <dgm:spPr/>
      <dgm:t>
        <a:bodyPr/>
        <a:lstStyle/>
        <a:p>
          <a:endParaRPr lang="en-US"/>
        </a:p>
      </dgm:t>
    </dgm:pt>
    <dgm:pt modelId="{2AE7D64F-3AD9-4138-A42B-60211A3AD678}">
      <dgm:prSet phldrT="[Text]"/>
      <dgm:spPr/>
      <dgm:t>
        <a:bodyPr/>
        <a:lstStyle/>
        <a:p>
          <a:r>
            <a:rPr lang="en-US" b="1"/>
            <a:t>Income Tax</a:t>
          </a:r>
        </a:p>
      </dgm:t>
    </dgm:pt>
    <dgm:pt modelId="{47EDE0D0-BAEF-414A-931A-0C9BC5264D49}" type="parTrans" cxnId="{10A63514-3C66-4A45-BB4B-84349A3DADD8}">
      <dgm:prSet/>
      <dgm:spPr/>
      <dgm:t>
        <a:bodyPr/>
        <a:lstStyle/>
        <a:p>
          <a:endParaRPr lang="en-US"/>
        </a:p>
      </dgm:t>
    </dgm:pt>
    <dgm:pt modelId="{5A13C0DE-D06D-43A0-9820-9A70723C0121}" type="sibTrans" cxnId="{10A63514-3C66-4A45-BB4B-84349A3DADD8}">
      <dgm:prSet/>
      <dgm:spPr/>
      <dgm:t>
        <a:bodyPr/>
        <a:lstStyle/>
        <a:p>
          <a:endParaRPr lang="en-US"/>
        </a:p>
      </dgm:t>
    </dgm:pt>
    <dgm:pt modelId="{2323A9F4-A05C-4713-91BC-544E1CF4A8F2}">
      <dgm:prSet phldrT="[Text]"/>
      <dgm:spPr/>
      <dgm:t>
        <a:bodyPr/>
        <a:lstStyle/>
        <a:p>
          <a:r>
            <a:rPr lang="en-US" b="1"/>
            <a:t>Market</a:t>
          </a:r>
        </a:p>
      </dgm:t>
    </dgm:pt>
    <dgm:pt modelId="{7B5D4F6F-D88F-46E8-99B4-DD647A70D593}" type="parTrans" cxnId="{9664F18F-2BF8-4DA4-957B-C5E402909E2F}">
      <dgm:prSet/>
      <dgm:spPr/>
      <dgm:t>
        <a:bodyPr/>
        <a:lstStyle/>
        <a:p>
          <a:endParaRPr lang="en-US"/>
        </a:p>
      </dgm:t>
    </dgm:pt>
    <dgm:pt modelId="{5089371E-CFE2-472A-9760-596CE3E85CF4}" type="sibTrans" cxnId="{9664F18F-2BF8-4DA4-957B-C5E402909E2F}">
      <dgm:prSet/>
      <dgm:spPr/>
      <dgm:t>
        <a:bodyPr/>
        <a:lstStyle/>
        <a:p>
          <a:endParaRPr lang="en-US"/>
        </a:p>
      </dgm:t>
    </dgm:pt>
    <dgm:pt modelId="{A38C6AD4-821C-4F32-9908-8B93DA2E4EE2}">
      <dgm:prSet phldrT="[Text]"/>
      <dgm:spPr/>
      <dgm:t>
        <a:bodyPr/>
        <a:lstStyle/>
        <a:p>
          <a:r>
            <a:rPr lang="en-US" b="1"/>
            <a:t>Liquidity</a:t>
          </a:r>
        </a:p>
      </dgm:t>
    </dgm:pt>
    <dgm:pt modelId="{FFCBCB06-2FC7-4F69-AD51-6E603DA0B9A8}" type="parTrans" cxnId="{A5DED1A0-113D-4772-8739-596C4694D061}">
      <dgm:prSet/>
      <dgm:spPr/>
      <dgm:t>
        <a:bodyPr/>
        <a:lstStyle/>
        <a:p>
          <a:endParaRPr lang="en-US"/>
        </a:p>
      </dgm:t>
    </dgm:pt>
    <dgm:pt modelId="{88D4F1F4-4CCB-41E4-88A9-D11F29F10110}" type="sibTrans" cxnId="{A5DED1A0-113D-4772-8739-596C4694D061}">
      <dgm:prSet/>
      <dgm:spPr/>
      <dgm:t>
        <a:bodyPr/>
        <a:lstStyle/>
        <a:p>
          <a:endParaRPr lang="en-US"/>
        </a:p>
      </dgm:t>
    </dgm:pt>
    <dgm:pt modelId="{BC254650-AF9F-4492-B23C-0B2A52370FF5}">
      <dgm:prSet phldrT="[Text]"/>
      <dgm:spPr/>
      <dgm:t>
        <a:bodyPr/>
        <a:lstStyle/>
        <a:p>
          <a:r>
            <a:rPr lang="en-US" b="1"/>
            <a:t>Estate Tax</a:t>
          </a:r>
        </a:p>
      </dgm:t>
    </dgm:pt>
    <dgm:pt modelId="{D7574230-15FC-463C-953D-76B2DB044532}" type="parTrans" cxnId="{51F0A7D0-5E08-4D72-97E4-E5D3DCC7A0D2}">
      <dgm:prSet/>
      <dgm:spPr/>
      <dgm:t>
        <a:bodyPr/>
        <a:lstStyle/>
        <a:p>
          <a:endParaRPr lang="en-US"/>
        </a:p>
      </dgm:t>
    </dgm:pt>
    <dgm:pt modelId="{0CB42540-759B-4488-AB43-566A824C0D55}" type="sibTrans" cxnId="{51F0A7D0-5E08-4D72-97E4-E5D3DCC7A0D2}">
      <dgm:prSet/>
      <dgm:spPr/>
      <dgm:t>
        <a:bodyPr/>
        <a:lstStyle/>
        <a:p>
          <a:endParaRPr lang="en-US"/>
        </a:p>
      </dgm:t>
    </dgm:pt>
    <dgm:pt modelId="{0AB932A4-94EC-45FC-B042-D2AB35EFC307}" type="pres">
      <dgm:prSet presAssocID="{589CFC41-E4A2-4A66-A224-AFCFFA98C35B}" presName="cycle" presStyleCnt="0">
        <dgm:presLayoutVars>
          <dgm:dir/>
          <dgm:resizeHandles val="exact"/>
        </dgm:presLayoutVars>
      </dgm:prSet>
      <dgm:spPr/>
    </dgm:pt>
    <dgm:pt modelId="{DC41A5C2-C391-4373-BF6E-B8DF66BCC193}" type="pres">
      <dgm:prSet presAssocID="{3E87343E-2A83-4E83-8F8E-ED1D2772C97C}" presName="node" presStyleLbl="node1" presStyleIdx="0" presStyleCnt="5">
        <dgm:presLayoutVars>
          <dgm:bulletEnabled val="1"/>
        </dgm:presLayoutVars>
      </dgm:prSet>
      <dgm:spPr/>
    </dgm:pt>
    <dgm:pt modelId="{25344086-052F-43F0-A049-F6EED1026FBD}" type="pres">
      <dgm:prSet presAssocID="{BDAE3B86-4EDA-4334-92B7-140023225E7A}" presName="sibTrans" presStyleLbl="sibTrans2D1" presStyleIdx="0" presStyleCnt="5"/>
      <dgm:spPr/>
    </dgm:pt>
    <dgm:pt modelId="{6DAA5F78-F619-4E00-B9C2-E014F43A95FB}" type="pres">
      <dgm:prSet presAssocID="{BDAE3B86-4EDA-4334-92B7-140023225E7A}" presName="connectorText" presStyleLbl="sibTrans2D1" presStyleIdx="0" presStyleCnt="5"/>
      <dgm:spPr/>
    </dgm:pt>
    <dgm:pt modelId="{1B2B4D0A-0578-43BF-8A99-6336DCB99242}" type="pres">
      <dgm:prSet presAssocID="{2AE7D64F-3AD9-4138-A42B-60211A3AD678}" presName="node" presStyleLbl="node1" presStyleIdx="1" presStyleCnt="5" custRadScaleRad="126664" custRadScaleInc="10776">
        <dgm:presLayoutVars>
          <dgm:bulletEnabled val="1"/>
        </dgm:presLayoutVars>
      </dgm:prSet>
      <dgm:spPr/>
    </dgm:pt>
    <dgm:pt modelId="{0A041B0F-E61A-46D2-BE40-41D189DBD377}" type="pres">
      <dgm:prSet presAssocID="{5A13C0DE-D06D-43A0-9820-9A70723C0121}" presName="sibTrans" presStyleLbl="sibTrans2D1" presStyleIdx="1" presStyleCnt="5"/>
      <dgm:spPr/>
    </dgm:pt>
    <dgm:pt modelId="{8F0C35D2-ABD0-4970-A1D3-D633102A8493}" type="pres">
      <dgm:prSet presAssocID="{5A13C0DE-D06D-43A0-9820-9A70723C0121}" presName="connectorText" presStyleLbl="sibTrans2D1" presStyleIdx="1" presStyleCnt="5"/>
      <dgm:spPr/>
    </dgm:pt>
    <dgm:pt modelId="{BFD88B59-773C-4623-B21F-886386EC838A}" type="pres">
      <dgm:prSet presAssocID="{2323A9F4-A05C-4713-91BC-544E1CF4A8F2}" presName="node" presStyleLbl="node1" presStyleIdx="2" presStyleCnt="5">
        <dgm:presLayoutVars>
          <dgm:bulletEnabled val="1"/>
        </dgm:presLayoutVars>
      </dgm:prSet>
      <dgm:spPr/>
    </dgm:pt>
    <dgm:pt modelId="{416DFF5D-AFA9-41E3-A57D-CED8F32AD5FF}" type="pres">
      <dgm:prSet presAssocID="{5089371E-CFE2-472A-9760-596CE3E85CF4}" presName="sibTrans" presStyleLbl="sibTrans2D1" presStyleIdx="2" presStyleCnt="5"/>
      <dgm:spPr/>
    </dgm:pt>
    <dgm:pt modelId="{573023E9-67A2-49C8-BA8C-DC747A7CBA50}" type="pres">
      <dgm:prSet presAssocID="{5089371E-CFE2-472A-9760-596CE3E85CF4}" presName="connectorText" presStyleLbl="sibTrans2D1" presStyleIdx="2" presStyleCnt="5"/>
      <dgm:spPr/>
    </dgm:pt>
    <dgm:pt modelId="{04AD9C40-C41D-4E4A-B07C-17BCCCA23140}" type="pres">
      <dgm:prSet presAssocID="{A38C6AD4-821C-4F32-9908-8B93DA2E4EE2}" presName="node" presStyleLbl="node1" presStyleIdx="3" presStyleCnt="5">
        <dgm:presLayoutVars>
          <dgm:bulletEnabled val="1"/>
        </dgm:presLayoutVars>
      </dgm:prSet>
      <dgm:spPr/>
    </dgm:pt>
    <dgm:pt modelId="{14FBDF72-684B-428C-B6C3-D9DB6A3371EC}" type="pres">
      <dgm:prSet presAssocID="{88D4F1F4-4CCB-41E4-88A9-D11F29F10110}" presName="sibTrans" presStyleLbl="sibTrans2D1" presStyleIdx="3" presStyleCnt="5"/>
      <dgm:spPr/>
    </dgm:pt>
    <dgm:pt modelId="{E23A14EC-B5D4-4561-BDE8-6F339CB13BF3}" type="pres">
      <dgm:prSet presAssocID="{88D4F1F4-4CCB-41E4-88A9-D11F29F10110}" presName="connectorText" presStyleLbl="sibTrans2D1" presStyleIdx="3" presStyleCnt="5"/>
      <dgm:spPr/>
    </dgm:pt>
    <dgm:pt modelId="{086230C3-C6EA-4BED-9DA6-41964E9296DF}" type="pres">
      <dgm:prSet presAssocID="{BC254650-AF9F-4492-B23C-0B2A52370FF5}" presName="node" presStyleLbl="node1" presStyleIdx="4" presStyleCnt="5">
        <dgm:presLayoutVars>
          <dgm:bulletEnabled val="1"/>
        </dgm:presLayoutVars>
      </dgm:prSet>
      <dgm:spPr/>
    </dgm:pt>
    <dgm:pt modelId="{86DAA259-F36F-45B2-9DD1-76FCA12D3FDD}" type="pres">
      <dgm:prSet presAssocID="{0CB42540-759B-4488-AB43-566A824C0D55}" presName="sibTrans" presStyleLbl="sibTrans2D1" presStyleIdx="4" presStyleCnt="5"/>
      <dgm:spPr/>
    </dgm:pt>
    <dgm:pt modelId="{7AB3B5A4-25F3-4F0E-A6AD-9195B3B85964}" type="pres">
      <dgm:prSet presAssocID="{0CB42540-759B-4488-AB43-566A824C0D55}" presName="connectorText" presStyleLbl="sibTrans2D1" presStyleIdx="4" presStyleCnt="5"/>
      <dgm:spPr/>
    </dgm:pt>
  </dgm:ptLst>
  <dgm:cxnLst>
    <dgm:cxn modelId="{0AAC9F0C-58C6-4FC1-BE70-FEF3B4AB4CF3}" type="presOf" srcId="{BDAE3B86-4EDA-4334-92B7-140023225E7A}" destId="{25344086-052F-43F0-A049-F6EED1026FBD}" srcOrd="0" destOrd="0" presId="urn:microsoft.com/office/officeart/2005/8/layout/cycle2"/>
    <dgm:cxn modelId="{2A8C4112-3269-4D30-841A-BEE7402D600B}" srcId="{589CFC41-E4A2-4A66-A224-AFCFFA98C35B}" destId="{3E87343E-2A83-4E83-8F8E-ED1D2772C97C}" srcOrd="0" destOrd="0" parTransId="{2116E127-53C6-4844-B032-B0C75AFD4C2C}" sibTransId="{BDAE3B86-4EDA-4334-92B7-140023225E7A}"/>
    <dgm:cxn modelId="{10A63514-3C66-4A45-BB4B-84349A3DADD8}" srcId="{589CFC41-E4A2-4A66-A224-AFCFFA98C35B}" destId="{2AE7D64F-3AD9-4138-A42B-60211A3AD678}" srcOrd="1" destOrd="0" parTransId="{47EDE0D0-BAEF-414A-931A-0C9BC5264D49}" sibTransId="{5A13C0DE-D06D-43A0-9820-9A70723C0121}"/>
    <dgm:cxn modelId="{7B01CA18-3D8A-4762-BAA0-EF62257FDCD9}" type="presOf" srcId="{A38C6AD4-821C-4F32-9908-8B93DA2E4EE2}" destId="{04AD9C40-C41D-4E4A-B07C-17BCCCA23140}" srcOrd="0" destOrd="0" presId="urn:microsoft.com/office/officeart/2005/8/layout/cycle2"/>
    <dgm:cxn modelId="{43E3671A-3B12-4431-9DCF-3AAC655ED2CF}" type="presOf" srcId="{0CB42540-759B-4488-AB43-566A824C0D55}" destId="{7AB3B5A4-25F3-4F0E-A6AD-9195B3B85964}" srcOrd="1" destOrd="0" presId="urn:microsoft.com/office/officeart/2005/8/layout/cycle2"/>
    <dgm:cxn modelId="{DA9EA51C-3DDB-465A-9F7C-3C4D67940D88}" type="presOf" srcId="{5A13C0DE-D06D-43A0-9820-9A70723C0121}" destId="{8F0C35D2-ABD0-4970-A1D3-D633102A8493}" srcOrd="1" destOrd="0" presId="urn:microsoft.com/office/officeart/2005/8/layout/cycle2"/>
    <dgm:cxn modelId="{098D4830-BD77-4BD5-A649-7AF627F4AD90}" type="presOf" srcId="{88D4F1F4-4CCB-41E4-88A9-D11F29F10110}" destId="{E23A14EC-B5D4-4561-BDE8-6F339CB13BF3}" srcOrd="1" destOrd="0" presId="urn:microsoft.com/office/officeart/2005/8/layout/cycle2"/>
    <dgm:cxn modelId="{C6D04947-4D3D-45B3-A32F-31EDD67643A3}" type="presOf" srcId="{589CFC41-E4A2-4A66-A224-AFCFFA98C35B}" destId="{0AB932A4-94EC-45FC-B042-D2AB35EFC307}" srcOrd="0" destOrd="0" presId="urn:microsoft.com/office/officeart/2005/8/layout/cycle2"/>
    <dgm:cxn modelId="{74440C49-72F9-4984-BC07-923E90AC5317}" type="presOf" srcId="{2AE7D64F-3AD9-4138-A42B-60211A3AD678}" destId="{1B2B4D0A-0578-43BF-8A99-6336DCB99242}" srcOrd="0" destOrd="0" presId="urn:microsoft.com/office/officeart/2005/8/layout/cycle2"/>
    <dgm:cxn modelId="{4043FD6C-D145-4DEC-8230-F74CED7AD48D}" type="presOf" srcId="{BC254650-AF9F-4492-B23C-0B2A52370FF5}" destId="{086230C3-C6EA-4BED-9DA6-41964E9296DF}" srcOrd="0" destOrd="0" presId="urn:microsoft.com/office/officeart/2005/8/layout/cycle2"/>
    <dgm:cxn modelId="{4FF45753-AF62-4976-929F-51605779A17F}" type="presOf" srcId="{0CB42540-759B-4488-AB43-566A824C0D55}" destId="{86DAA259-F36F-45B2-9DD1-76FCA12D3FDD}" srcOrd="0" destOrd="0" presId="urn:microsoft.com/office/officeart/2005/8/layout/cycle2"/>
    <dgm:cxn modelId="{0A2DF45A-6CD3-475E-8C2F-6B1328C3F876}" type="presOf" srcId="{3E87343E-2A83-4E83-8F8E-ED1D2772C97C}" destId="{DC41A5C2-C391-4373-BF6E-B8DF66BCC193}" srcOrd="0" destOrd="0" presId="urn:microsoft.com/office/officeart/2005/8/layout/cycle2"/>
    <dgm:cxn modelId="{9664F18F-2BF8-4DA4-957B-C5E402909E2F}" srcId="{589CFC41-E4A2-4A66-A224-AFCFFA98C35B}" destId="{2323A9F4-A05C-4713-91BC-544E1CF4A8F2}" srcOrd="2" destOrd="0" parTransId="{7B5D4F6F-D88F-46E8-99B4-DD647A70D593}" sibTransId="{5089371E-CFE2-472A-9760-596CE3E85CF4}"/>
    <dgm:cxn modelId="{A5DED1A0-113D-4772-8739-596C4694D061}" srcId="{589CFC41-E4A2-4A66-A224-AFCFFA98C35B}" destId="{A38C6AD4-821C-4F32-9908-8B93DA2E4EE2}" srcOrd="3" destOrd="0" parTransId="{FFCBCB06-2FC7-4F69-AD51-6E603DA0B9A8}" sibTransId="{88D4F1F4-4CCB-41E4-88A9-D11F29F10110}"/>
    <dgm:cxn modelId="{8886ABAB-FFB0-41E1-AF5E-CF4555775C89}" type="presOf" srcId="{2323A9F4-A05C-4713-91BC-544E1CF4A8F2}" destId="{BFD88B59-773C-4623-B21F-886386EC838A}" srcOrd="0" destOrd="0" presId="urn:microsoft.com/office/officeart/2005/8/layout/cycle2"/>
    <dgm:cxn modelId="{B07AABC4-11A2-4B8B-A12B-74507207F454}" type="presOf" srcId="{5A13C0DE-D06D-43A0-9820-9A70723C0121}" destId="{0A041B0F-E61A-46D2-BE40-41D189DBD377}" srcOrd="0" destOrd="0" presId="urn:microsoft.com/office/officeart/2005/8/layout/cycle2"/>
    <dgm:cxn modelId="{51F0A7D0-5E08-4D72-97E4-E5D3DCC7A0D2}" srcId="{589CFC41-E4A2-4A66-A224-AFCFFA98C35B}" destId="{BC254650-AF9F-4492-B23C-0B2A52370FF5}" srcOrd="4" destOrd="0" parTransId="{D7574230-15FC-463C-953D-76B2DB044532}" sibTransId="{0CB42540-759B-4488-AB43-566A824C0D55}"/>
    <dgm:cxn modelId="{893014D7-319A-4880-8E81-288CFD2F581D}" type="presOf" srcId="{5089371E-CFE2-472A-9760-596CE3E85CF4}" destId="{573023E9-67A2-49C8-BA8C-DC747A7CBA50}" srcOrd="1" destOrd="0" presId="urn:microsoft.com/office/officeart/2005/8/layout/cycle2"/>
    <dgm:cxn modelId="{8D5890DB-6417-4BC8-BF0E-5BC4074889DD}" type="presOf" srcId="{88D4F1F4-4CCB-41E4-88A9-D11F29F10110}" destId="{14FBDF72-684B-428C-B6C3-D9DB6A3371EC}" srcOrd="0" destOrd="0" presId="urn:microsoft.com/office/officeart/2005/8/layout/cycle2"/>
    <dgm:cxn modelId="{70AA0BDC-C84A-46F3-A3C1-B984C2E6A441}" type="presOf" srcId="{5089371E-CFE2-472A-9760-596CE3E85CF4}" destId="{416DFF5D-AFA9-41E3-A57D-CED8F32AD5FF}" srcOrd="0" destOrd="0" presId="urn:microsoft.com/office/officeart/2005/8/layout/cycle2"/>
    <dgm:cxn modelId="{410B1DDD-D6C8-4822-80DD-4C739D3A01A4}" type="presOf" srcId="{BDAE3B86-4EDA-4334-92B7-140023225E7A}" destId="{6DAA5F78-F619-4E00-B9C2-E014F43A95FB}" srcOrd="1" destOrd="0" presId="urn:microsoft.com/office/officeart/2005/8/layout/cycle2"/>
    <dgm:cxn modelId="{86E5FDB9-49FA-4C18-8D6C-2C34F6FEBF07}" type="presParOf" srcId="{0AB932A4-94EC-45FC-B042-D2AB35EFC307}" destId="{DC41A5C2-C391-4373-BF6E-B8DF66BCC193}" srcOrd="0" destOrd="0" presId="urn:microsoft.com/office/officeart/2005/8/layout/cycle2"/>
    <dgm:cxn modelId="{964660CF-A898-4CF7-8DA4-D66C44E1D8EF}" type="presParOf" srcId="{0AB932A4-94EC-45FC-B042-D2AB35EFC307}" destId="{25344086-052F-43F0-A049-F6EED1026FBD}" srcOrd="1" destOrd="0" presId="urn:microsoft.com/office/officeart/2005/8/layout/cycle2"/>
    <dgm:cxn modelId="{701E4589-2080-4D26-BA67-8AFAB2417276}" type="presParOf" srcId="{25344086-052F-43F0-A049-F6EED1026FBD}" destId="{6DAA5F78-F619-4E00-B9C2-E014F43A95FB}" srcOrd="0" destOrd="0" presId="urn:microsoft.com/office/officeart/2005/8/layout/cycle2"/>
    <dgm:cxn modelId="{7E34CEE9-E046-44DA-AE7F-25BEF5BEB67A}" type="presParOf" srcId="{0AB932A4-94EC-45FC-B042-D2AB35EFC307}" destId="{1B2B4D0A-0578-43BF-8A99-6336DCB99242}" srcOrd="2" destOrd="0" presId="urn:microsoft.com/office/officeart/2005/8/layout/cycle2"/>
    <dgm:cxn modelId="{B895403A-121F-4010-AC5C-D41B807A4C1C}" type="presParOf" srcId="{0AB932A4-94EC-45FC-B042-D2AB35EFC307}" destId="{0A041B0F-E61A-46D2-BE40-41D189DBD377}" srcOrd="3" destOrd="0" presId="urn:microsoft.com/office/officeart/2005/8/layout/cycle2"/>
    <dgm:cxn modelId="{017FAAA6-2912-4A03-9B55-6F59E877801A}" type="presParOf" srcId="{0A041B0F-E61A-46D2-BE40-41D189DBD377}" destId="{8F0C35D2-ABD0-4970-A1D3-D633102A8493}" srcOrd="0" destOrd="0" presId="urn:microsoft.com/office/officeart/2005/8/layout/cycle2"/>
    <dgm:cxn modelId="{5698CAD5-2AC2-4563-84CE-B8B55B10E8DC}" type="presParOf" srcId="{0AB932A4-94EC-45FC-B042-D2AB35EFC307}" destId="{BFD88B59-773C-4623-B21F-886386EC838A}" srcOrd="4" destOrd="0" presId="urn:microsoft.com/office/officeart/2005/8/layout/cycle2"/>
    <dgm:cxn modelId="{4EDB9CD7-A716-457D-892B-6600F7CDAA64}" type="presParOf" srcId="{0AB932A4-94EC-45FC-B042-D2AB35EFC307}" destId="{416DFF5D-AFA9-41E3-A57D-CED8F32AD5FF}" srcOrd="5" destOrd="0" presId="urn:microsoft.com/office/officeart/2005/8/layout/cycle2"/>
    <dgm:cxn modelId="{2C510F03-C694-4D25-8805-E0E5697CD691}" type="presParOf" srcId="{416DFF5D-AFA9-41E3-A57D-CED8F32AD5FF}" destId="{573023E9-67A2-49C8-BA8C-DC747A7CBA50}" srcOrd="0" destOrd="0" presId="urn:microsoft.com/office/officeart/2005/8/layout/cycle2"/>
    <dgm:cxn modelId="{4BF94565-DA6C-4104-906E-A2FE2ECCF27D}" type="presParOf" srcId="{0AB932A4-94EC-45FC-B042-D2AB35EFC307}" destId="{04AD9C40-C41D-4E4A-B07C-17BCCCA23140}" srcOrd="6" destOrd="0" presId="urn:microsoft.com/office/officeart/2005/8/layout/cycle2"/>
    <dgm:cxn modelId="{38EC19DF-957D-4939-8059-80FAD7C077D4}" type="presParOf" srcId="{0AB932A4-94EC-45FC-B042-D2AB35EFC307}" destId="{14FBDF72-684B-428C-B6C3-D9DB6A3371EC}" srcOrd="7" destOrd="0" presId="urn:microsoft.com/office/officeart/2005/8/layout/cycle2"/>
    <dgm:cxn modelId="{5360924E-DD6A-429E-90C3-FBA2730A8E7D}" type="presParOf" srcId="{14FBDF72-684B-428C-B6C3-D9DB6A3371EC}" destId="{E23A14EC-B5D4-4561-BDE8-6F339CB13BF3}" srcOrd="0" destOrd="0" presId="urn:microsoft.com/office/officeart/2005/8/layout/cycle2"/>
    <dgm:cxn modelId="{92D3A919-564B-418E-8BD7-BED96CAB1337}" type="presParOf" srcId="{0AB932A4-94EC-45FC-B042-D2AB35EFC307}" destId="{086230C3-C6EA-4BED-9DA6-41964E9296DF}" srcOrd="8" destOrd="0" presId="urn:microsoft.com/office/officeart/2005/8/layout/cycle2"/>
    <dgm:cxn modelId="{8C5744DD-3C2B-4626-A848-267D43157FF2}" type="presParOf" srcId="{0AB932A4-94EC-45FC-B042-D2AB35EFC307}" destId="{86DAA259-F36F-45B2-9DD1-76FCA12D3FDD}" srcOrd="9" destOrd="0" presId="urn:microsoft.com/office/officeart/2005/8/layout/cycle2"/>
    <dgm:cxn modelId="{285B7B73-B659-4643-9D9A-7ED96517958A}" type="presParOf" srcId="{86DAA259-F36F-45B2-9DD1-76FCA12D3FDD}" destId="{7AB3B5A4-25F3-4F0E-A6AD-9195B3B85964}"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41A5C2-C391-4373-BF6E-B8DF66BCC193}">
      <dsp:nvSpPr>
        <dsp:cNvPr id="0" name=""/>
        <dsp:cNvSpPr/>
      </dsp:nvSpPr>
      <dsp:spPr>
        <a:xfrm>
          <a:off x="1073597" y="978"/>
          <a:ext cx="834130" cy="834130"/>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Creditor</a:t>
          </a:r>
        </a:p>
      </dsp:txBody>
      <dsp:txXfrm>
        <a:off x="1195753" y="123134"/>
        <a:ext cx="589818" cy="589818"/>
      </dsp:txXfrm>
    </dsp:sp>
    <dsp:sp modelId="{25344086-052F-43F0-A049-F6EED1026FBD}">
      <dsp:nvSpPr>
        <dsp:cNvPr id="0" name=""/>
        <dsp:cNvSpPr/>
      </dsp:nvSpPr>
      <dsp:spPr>
        <a:xfrm rot="2065358">
          <a:off x="1897824" y="641186"/>
          <a:ext cx="247707" cy="2815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904330" y="676486"/>
        <a:ext cx="173395" cy="168911"/>
      </dsp:txXfrm>
    </dsp:sp>
    <dsp:sp modelId="{1B2B4D0A-0578-43BF-8A99-6336DCB99242}">
      <dsp:nvSpPr>
        <dsp:cNvPr id="0" name=""/>
        <dsp:cNvSpPr/>
      </dsp:nvSpPr>
      <dsp:spPr>
        <a:xfrm>
          <a:off x="2147194" y="736709"/>
          <a:ext cx="834130" cy="834130"/>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Income Tax</a:t>
          </a:r>
        </a:p>
      </dsp:txBody>
      <dsp:txXfrm>
        <a:off x="2269350" y="858865"/>
        <a:ext cx="589818" cy="589818"/>
      </dsp:txXfrm>
    </dsp:sp>
    <dsp:sp modelId="{0A041B0F-E61A-46D2-BE40-41D189DBD377}">
      <dsp:nvSpPr>
        <dsp:cNvPr id="0" name=""/>
        <dsp:cNvSpPr/>
      </dsp:nvSpPr>
      <dsp:spPr>
        <a:xfrm rot="6636747">
          <a:off x="2226700" y="1602085"/>
          <a:ext cx="231992" cy="2815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2273750" y="1625818"/>
        <a:ext cx="162394" cy="168911"/>
      </dsp:txXfrm>
    </dsp:sp>
    <dsp:sp modelId="{BFD88B59-773C-4623-B21F-886386EC838A}">
      <dsp:nvSpPr>
        <dsp:cNvPr id="0" name=""/>
        <dsp:cNvSpPr/>
      </dsp:nvSpPr>
      <dsp:spPr>
        <a:xfrm>
          <a:off x="1699445" y="1927140"/>
          <a:ext cx="834130" cy="834130"/>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Market</a:t>
          </a:r>
        </a:p>
      </dsp:txBody>
      <dsp:txXfrm>
        <a:off x="1821601" y="2049296"/>
        <a:ext cx="589818" cy="589818"/>
      </dsp:txXfrm>
    </dsp:sp>
    <dsp:sp modelId="{416DFF5D-AFA9-41E3-A57D-CED8F32AD5FF}">
      <dsp:nvSpPr>
        <dsp:cNvPr id="0" name=""/>
        <dsp:cNvSpPr/>
      </dsp:nvSpPr>
      <dsp:spPr>
        <a:xfrm rot="10800000">
          <a:off x="1386271" y="2203446"/>
          <a:ext cx="221309" cy="2815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1452664" y="2259750"/>
        <a:ext cx="154916" cy="168911"/>
      </dsp:txXfrm>
    </dsp:sp>
    <dsp:sp modelId="{04AD9C40-C41D-4E4A-B07C-17BCCCA23140}">
      <dsp:nvSpPr>
        <dsp:cNvPr id="0" name=""/>
        <dsp:cNvSpPr/>
      </dsp:nvSpPr>
      <dsp:spPr>
        <a:xfrm>
          <a:off x="447749" y="1927140"/>
          <a:ext cx="834130" cy="834130"/>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Liquidity</a:t>
          </a:r>
        </a:p>
      </dsp:txBody>
      <dsp:txXfrm>
        <a:off x="569905" y="2049296"/>
        <a:ext cx="589818" cy="589818"/>
      </dsp:txXfrm>
    </dsp:sp>
    <dsp:sp modelId="{14FBDF72-684B-428C-B6C3-D9DB6A3371EC}">
      <dsp:nvSpPr>
        <dsp:cNvPr id="0" name=""/>
        <dsp:cNvSpPr/>
      </dsp:nvSpPr>
      <dsp:spPr>
        <a:xfrm rot="15120000">
          <a:off x="562697" y="1614186"/>
          <a:ext cx="221309" cy="2815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606152" y="1702062"/>
        <a:ext cx="154916" cy="168911"/>
      </dsp:txXfrm>
    </dsp:sp>
    <dsp:sp modelId="{086230C3-C6EA-4BED-9DA6-41964E9296DF}">
      <dsp:nvSpPr>
        <dsp:cNvPr id="0" name=""/>
        <dsp:cNvSpPr/>
      </dsp:nvSpPr>
      <dsp:spPr>
        <a:xfrm>
          <a:off x="60953" y="736707"/>
          <a:ext cx="834130" cy="834130"/>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Estate Tax</a:t>
          </a:r>
        </a:p>
      </dsp:txBody>
      <dsp:txXfrm>
        <a:off x="183109" y="858863"/>
        <a:ext cx="589818" cy="589818"/>
      </dsp:txXfrm>
    </dsp:sp>
    <dsp:sp modelId="{86DAA259-F36F-45B2-9DD1-76FCA12D3FDD}">
      <dsp:nvSpPr>
        <dsp:cNvPr id="0" name=""/>
        <dsp:cNvSpPr/>
      </dsp:nvSpPr>
      <dsp:spPr>
        <a:xfrm rot="19440000">
          <a:off x="868618" y="648830"/>
          <a:ext cx="221309" cy="2815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874958" y="724646"/>
        <a:ext cx="154916" cy="16891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MacDonald</dc:creator>
  <cp:keywords/>
  <dc:description/>
  <cp:lastModifiedBy>Megan Wyrtzen</cp:lastModifiedBy>
  <cp:revision>2</cp:revision>
  <cp:lastPrinted>2020-07-15T16:00:00Z</cp:lastPrinted>
  <dcterms:created xsi:type="dcterms:W3CDTF">2020-08-25T20:21:00Z</dcterms:created>
  <dcterms:modified xsi:type="dcterms:W3CDTF">2020-08-25T20:21:00Z</dcterms:modified>
</cp:coreProperties>
</file>